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EA6" w:rsidRDefault="00AF569F" w:rsidP="00C61C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52BC6E4" wp14:editId="6DD22593">
            <wp:extent cx="5972810" cy="520065"/>
            <wp:effectExtent l="0" t="0" r="8890" b="0"/>
            <wp:docPr id="1" name="Obraz 1" descr="C:\Users\pawluszewicz_dorota\Desktop\zmiany wizualizacji\Rpo\Zestaw_logotypow_monochrom_GRAY_EF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pawluszewicz_dorota\Desktop\zmiany wizualizacji\Rpo\Zestaw_logotypow_monochrom_GRAY_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EB" w:rsidRPr="004E3EF7" w:rsidRDefault="006E75EB" w:rsidP="006E75EB">
      <w:pPr>
        <w:jc w:val="center"/>
        <w:rPr>
          <w:rFonts w:cs="Times New Roman"/>
        </w:rPr>
      </w:pPr>
    </w:p>
    <w:p w:rsidR="004E6974" w:rsidRPr="000F0993" w:rsidRDefault="00CA767F" w:rsidP="004E6974">
      <w:pPr>
        <w:jc w:val="both"/>
        <w:rPr>
          <w:rFonts w:ascii="Times New Roman" w:hAnsi="Times New Roman" w:cs="Times New Roman"/>
          <w:sz w:val="24"/>
          <w:szCs w:val="24"/>
        </w:rPr>
      </w:pPr>
      <w:r w:rsidRPr="00F766B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230D3" w:rsidRPr="00F766BF">
        <w:rPr>
          <w:rFonts w:ascii="Times New Roman" w:hAnsi="Times New Roman" w:cs="Times New Roman"/>
          <w:sz w:val="24"/>
          <w:szCs w:val="24"/>
        </w:rPr>
        <w:t>8</w:t>
      </w:r>
      <w:r w:rsidR="00186EF4" w:rsidRPr="00F766BF">
        <w:rPr>
          <w:rFonts w:ascii="Times New Roman" w:hAnsi="Times New Roman" w:cs="Times New Roman"/>
          <w:sz w:val="24"/>
          <w:szCs w:val="24"/>
        </w:rPr>
        <w:t>.</w:t>
      </w:r>
      <w:r w:rsidRPr="00F766BF">
        <w:rPr>
          <w:rFonts w:ascii="Times New Roman" w:hAnsi="Times New Roman" w:cs="Times New Roman"/>
          <w:sz w:val="24"/>
          <w:szCs w:val="24"/>
        </w:rPr>
        <w:t xml:space="preserve"> </w:t>
      </w:r>
      <w:r w:rsidR="00451FF6">
        <w:rPr>
          <w:rFonts w:ascii="Times New Roman" w:hAnsi="Times New Roman"/>
          <w:sz w:val="24"/>
          <w:szCs w:val="24"/>
        </w:rPr>
        <w:t>Wykaz dopuszczalnych stawek dla towarów i usług</w:t>
      </w:r>
      <w:r w:rsidR="00451FF6" w:rsidRPr="00552D45">
        <w:rPr>
          <w:rFonts w:ascii="Times New Roman" w:hAnsi="Times New Roman"/>
          <w:sz w:val="24"/>
          <w:szCs w:val="24"/>
        </w:rPr>
        <w:t xml:space="preserve"> w ramach konkursu nr RPPD</w:t>
      </w:r>
      <w:r w:rsidR="00451FF6" w:rsidRPr="0003341C">
        <w:rPr>
          <w:rFonts w:ascii="Times New Roman" w:hAnsi="Times New Roman"/>
          <w:sz w:val="24"/>
          <w:szCs w:val="24"/>
        </w:rPr>
        <w:t>.0</w:t>
      </w:r>
      <w:r w:rsidR="00451FF6">
        <w:rPr>
          <w:rFonts w:ascii="Times New Roman" w:hAnsi="Times New Roman"/>
          <w:sz w:val="24"/>
          <w:szCs w:val="24"/>
        </w:rPr>
        <w:t>3</w:t>
      </w:r>
      <w:r w:rsidR="00451FF6" w:rsidRPr="0003341C">
        <w:rPr>
          <w:rFonts w:ascii="Times New Roman" w:hAnsi="Times New Roman"/>
          <w:sz w:val="24"/>
          <w:szCs w:val="24"/>
        </w:rPr>
        <w:t>.01.0</w:t>
      </w:r>
      <w:r w:rsidR="00451FF6">
        <w:rPr>
          <w:rFonts w:ascii="Times New Roman" w:hAnsi="Times New Roman"/>
          <w:sz w:val="24"/>
          <w:szCs w:val="24"/>
        </w:rPr>
        <w:t>1</w:t>
      </w:r>
      <w:r w:rsidR="00451FF6" w:rsidRPr="0003341C">
        <w:rPr>
          <w:rFonts w:ascii="Times New Roman" w:hAnsi="Times New Roman"/>
          <w:sz w:val="24"/>
          <w:szCs w:val="24"/>
        </w:rPr>
        <w:t>-IP.01-20-00</w:t>
      </w:r>
      <w:r w:rsidR="00451FF6">
        <w:rPr>
          <w:rFonts w:ascii="Times New Roman" w:hAnsi="Times New Roman"/>
          <w:sz w:val="24"/>
          <w:szCs w:val="24"/>
        </w:rPr>
        <w:t>1</w:t>
      </w:r>
      <w:r w:rsidR="00451FF6" w:rsidRPr="0003341C">
        <w:rPr>
          <w:rFonts w:ascii="Times New Roman" w:hAnsi="Times New Roman"/>
          <w:sz w:val="24"/>
          <w:szCs w:val="24"/>
        </w:rPr>
        <w:t>/18</w:t>
      </w:r>
      <w:bookmarkStart w:id="0" w:name="_GoBack"/>
      <w:bookmarkEnd w:id="0"/>
    </w:p>
    <w:p w:rsidR="00BE266E" w:rsidRPr="000F0993" w:rsidRDefault="00BE266E" w:rsidP="004E6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9D2" w:rsidRPr="000F0993" w:rsidRDefault="004E6974" w:rsidP="00BE266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0993">
        <w:rPr>
          <w:rFonts w:ascii="Times New Roman" w:hAnsi="Times New Roman" w:cs="Times New Roman"/>
          <w:sz w:val="24"/>
          <w:szCs w:val="24"/>
        </w:rPr>
        <w:t xml:space="preserve">Zestawienie cen rynkowych i określenie standardu wydatków w projektach konkursowych realizowanych w ramach Działania </w:t>
      </w:r>
      <w:r w:rsidR="0057289C">
        <w:rPr>
          <w:rFonts w:ascii="Times New Roman" w:hAnsi="Times New Roman" w:cs="Times New Roman"/>
          <w:sz w:val="24"/>
          <w:szCs w:val="24"/>
        </w:rPr>
        <w:t>3.1, Podziałania 3.1.1 Regionalnego Programu Operacyjnego Województwa Podlaskiego na lata 2014-2020</w:t>
      </w:r>
      <w:r w:rsidRPr="000F0993">
        <w:rPr>
          <w:rFonts w:ascii="Times New Roman" w:hAnsi="Times New Roman" w:cs="Times New Roman"/>
          <w:sz w:val="24"/>
          <w:szCs w:val="24"/>
        </w:rPr>
        <w:t xml:space="preserve"> w województwie podlaskim</w:t>
      </w:r>
    </w:p>
    <w:p w:rsidR="006C755D" w:rsidRPr="000F0993" w:rsidRDefault="006C755D" w:rsidP="006C755D">
      <w:pPr>
        <w:jc w:val="both"/>
        <w:rPr>
          <w:rFonts w:ascii="Times New Roman" w:hAnsi="Times New Roman" w:cs="Times New Roman"/>
          <w:sz w:val="24"/>
          <w:szCs w:val="24"/>
        </w:rPr>
      </w:pPr>
      <w:r w:rsidRPr="000F0993">
        <w:rPr>
          <w:rFonts w:ascii="Times New Roman" w:hAnsi="Times New Roman" w:cs="Times New Roman"/>
          <w:sz w:val="24"/>
          <w:szCs w:val="24"/>
        </w:rPr>
        <w:t xml:space="preserve">Zgodnie z zapisami rozdziału </w:t>
      </w:r>
      <w:r w:rsidR="000F0993" w:rsidRPr="000F0993">
        <w:rPr>
          <w:rFonts w:ascii="Times New Roman" w:hAnsi="Times New Roman" w:cs="Times New Roman"/>
          <w:sz w:val="24"/>
          <w:szCs w:val="24"/>
        </w:rPr>
        <w:t>6.2</w:t>
      </w:r>
      <w:r w:rsidRPr="000F0993">
        <w:rPr>
          <w:rFonts w:ascii="Times New Roman" w:hAnsi="Times New Roman" w:cs="Times New Roman"/>
          <w:sz w:val="24"/>
          <w:szCs w:val="24"/>
        </w:rPr>
        <w:t xml:space="preserve"> </w:t>
      </w:r>
      <w:r w:rsidRPr="000F0993">
        <w:rPr>
          <w:rFonts w:ascii="Times New Roman" w:hAnsi="Times New Roman" w:cs="Times New Roman"/>
          <w:i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0F0993">
        <w:rPr>
          <w:rFonts w:ascii="Times New Roman" w:hAnsi="Times New Roman" w:cs="Times New Roman"/>
          <w:sz w:val="24"/>
          <w:szCs w:val="24"/>
        </w:rPr>
        <w:t xml:space="preserve"> Wojewódzki Urząd Pracy – Instytucja Pośrednicząca RPOWP 2014-2020 przygotowała dokument dotyczący zestawie</w:t>
      </w:r>
      <w:r w:rsidR="0081327F" w:rsidRPr="000F0993">
        <w:rPr>
          <w:rFonts w:ascii="Times New Roman" w:hAnsi="Times New Roman" w:cs="Times New Roman"/>
          <w:sz w:val="24"/>
          <w:szCs w:val="24"/>
        </w:rPr>
        <w:t xml:space="preserve">nia standardu i cen rynkowych </w:t>
      </w:r>
      <w:r w:rsidR="000F0993">
        <w:rPr>
          <w:rFonts w:ascii="Times New Roman" w:hAnsi="Times New Roman" w:cs="Times New Roman"/>
          <w:sz w:val="24"/>
          <w:szCs w:val="24"/>
        </w:rPr>
        <w:br/>
      </w:r>
      <w:r w:rsidR="0081327F" w:rsidRPr="000F0993">
        <w:rPr>
          <w:rFonts w:ascii="Times New Roman" w:hAnsi="Times New Roman" w:cs="Times New Roman"/>
          <w:sz w:val="24"/>
          <w:szCs w:val="24"/>
        </w:rPr>
        <w:t xml:space="preserve">w </w:t>
      </w:r>
      <w:r w:rsidRPr="000F0993">
        <w:rPr>
          <w:rFonts w:ascii="Times New Roman" w:hAnsi="Times New Roman" w:cs="Times New Roman"/>
          <w:sz w:val="24"/>
          <w:szCs w:val="24"/>
        </w:rPr>
        <w:t xml:space="preserve">zakresie najczęściej finansowanych wydatków, który jest częścią regulaminu konkursu. Tworząc budżet projektu należy pamiętać o celach EFS i RPOWP 2014-2020. EFS wspiera dążenie do wysokiego poziomu zatrudnienia i wysokiej jakości miejsc pracy, poprawę dostępu do rynku pracy oraz mobilność geograficzną i zawodową pracowników. </w:t>
      </w:r>
      <w:r w:rsidR="00F816D3" w:rsidRPr="000F0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55D" w:rsidRPr="000F0993" w:rsidRDefault="006C755D" w:rsidP="006C755D">
      <w:pPr>
        <w:jc w:val="both"/>
        <w:rPr>
          <w:rFonts w:ascii="Times New Roman" w:hAnsi="Times New Roman" w:cs="Times New Roman"/>
          <w:sz w:val="24"/>
          <w:szCs w:val="24"/>
        </w:rPr>
      </w:pPr>
      <w:r w:rsidRPr="000F0993">
        <w:rPr>
          <w:rFonts w:ascii="Times New Roman" w:hAnsi="Times New Roman" w:cs="Times New Roman"/>
          <w:sz w:val="24"/>
          <w:szCs w:val="24"/>
        </w:rPr>
        <w:t xml:space="preserve">Przedstawione </w:t>
      </w:r>
      <w:r w:rsidRPr="000F0993">
        <w:rPr>
          <w:rFonts w:ascii="Times New Roman" w:hAnsi="Times New Roman" w:cs="Times New Roman"/>
          <w:i/>
          <w:sz w:val="24"/>
          <w:szCs w:val="24"/>
        </w:rPr>
        <w:t>Zestawienie</w:t>
      </w:r>
      <w:r w:rsidRPr="000F0993">
        <w:rPr>
          <w:rFonts w:ascii="Times New Roman" w:hAnsi="Times New Roman" w:cs="Times New Roman"/>
          <w:sz w:val="24"/>
          <w:szCs w:val="24"/>
        </w:rPr>
        <w:t xml:space="preserve"> określa </w:t>
      </w:r>
      <w:r w:rsidR="00F816D3" w:rsidRPr="000F0993">
        <w:rPr>
          <w:rFonts w:ascii="Times New Roman" w:hAnsi="Times New Roman" w:cs="Times New Roman"/>
          <w:sz w:val="24"/>
          <w:szCs w:val="24"/>
        </w:rPr>
        <w:t xml:space="preserve">koszty </w:t>
      </w:r>
      <w:r w:rsidRPr="000F0993">
        <w:rPr>
          <w:rFonts w:ascii="Times New Roman" w:hAnsi="Times New Roman" w:cs="Times New Roman"/>
          <w:sz w:val="24"/>
          <w:szCs w:val="24"/>
        </w:rPr>
        <w:t xml:space="preserve">najczęściej występujące w projektach, co oznacza, iż przedmiotowy dokument nie stanowi katalogu zamkniętego. </w:t>
      </w:r>
      <w:r w:rsidR="00F816D3" w:rsidRPr="000F0993">
        <w:rPr>
          <w:rFonts w:ascii="Times New Roman" w:hAnsi="Times New Roman" w:cs="Times New Roman"/>
          <w:sz w:val="24"/>
          <w:szCs w:val="24"/>
        </w:rPr>
        <w:t>Oznacza to, że dopuszcza się</w:t>
      </w:r>
      <w:r w:rsidRPr="000F0993">
        <w:rPr>
          <w:rFonts w:ascii="Times New Roman" w:hAnsi="Times New Roman" w:cs="Times New Roman"/>
          <w:sz w:val="24"/>
          <w:szCs w:val="24"/>
        </w:rPr>
        <w:t xml:space="preserve"> ujmowanie w</w:t>
      </w:r>
      <w:r w:rsidR="00775097" w:rsidRPr="000F0993">
        <w:rPr>
          <w:rFonts w:ascii="Times New Roman" w:hAnsi="Times New Roman" w:cs="Times New Roman"/>
          <w:sz w:val="24"/>
          <w:szCs w:val="24"/>
        </w:rPr>
        <w:t xml:space="preserve"> </w:t>
      </w:r>
      <w:r w:rsidRPr="000F0993">
        <w:rPr>
          <w:rFonts w:ascii="Times New Roman" w:hAnsi="Times New Roman" w:cs="Times New Roman"/>
          <w:sz w:val="24"/>
          <w:szCs w:val="24"/>
        </w:rPr>
        <w:t>budże</w:t>
      </w:r>
      <w:r w:rsidR="0081327F" w:rsidRPr="000F0993">
        <w:rPr>
          <w:rFonts w:ascii="Times New Roman" w:hAnsi="Times New Roman" w:cs="Times New Roman"/>
          <w:sz w:val="24"/>
          <w:szCs w:val="24"/>
        </w:rPr>
        <w:t>cie</w:t>
      </w:r>
      <w:r w:rsidR="00F816D3" w:rsidRPr="000F0993">
        <w:rPr>
          <w:rFonts w:ascii="Times New Roman" w:hAnsi="Times New Roman" w:cs="Times New Roman"/>
          <w:sz w:val="24"/>
          <w:szCs w:val="24"/>
        </w:rPr>
        <w:t xml:space="preserve"> projekt</w:t>
      </w:r>
      <w:r w:rsidR="0081327F" w:rsidRPr="000F0993">
        <w:rPr>
          <w:rFonts w:ascii="Times New Roman" w:hAnsi="Times New Roman" w:cs="Times New Roman"/>
          <w:sz w:val="24"/>
          <w:szCs w:val="24"/>
        </w:rPr>
        <w:t>u kosztów, które w katalogu nie zostały wskazane</w:t>
      </w:r>
      <w:r w:rsidRPr="000F0993">
        <w:rPr>
          <w:rFonts w:ascii="Times New Roman" w:hAnsi="Times New Roman" w:cs="Times New Roman"/>
          <w:sz w:val="24"/>
          <w:szCs w:val="24"/>
        </w:rPr>
        <w:t xml:space="preserve">. Aplikując o środki należy posługiwać się zaproponowanym standardem, niemniej należy mieć na uwadze fakt stale zmieniającej się sytuacji na rynku pracy. Wszelkie koszty, które nie zostały ujęte w katalogu, powinny zostać należycie oszacowane, być zgodne z cenami rynkowymi oraz spełniać zasady kwalifikowalności. </w:t>
      </w:r>
    </w:p>
    <w:p w:rsidR="006C755D" w:rsidRPr="000F0993" w:rsidRDefault="006C755D" w:rsidP="006C755D">
      <w:pPr>
        <w:jc w:val="both"/>
        <w:rPr>
          <w:rFonts w:ascii="Times New Roman" w:hAnsi="Times New Roman" w:cs="Times New Roman"/>
          <w:sz w:val="24"/>
          <w:szCs w:val="24"/>
        </w:rPr>
      </w:pPr>
      <w:r w:rsidRPr="000F0993">
        <w:rPr>
          <w:rFonts w:ascii="Times New Roman" w:hAnsi="Times New Roman" w:cs="Times New Roman"/>
          <w:sz w:val="24"/>
          <w:szCs w:val="24"/>
        </w:rPr>
        <w:t>Stawki</w:t>
      </w:r>
      <w:r w:rsidRPr="000F09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F0993">
        <w:rPr>
          <w:rFonts w:ascii="Times New Roman" w:hAnsi="Times New Roman" w:cs="Times New Roman"/>
          <w:sz w:val="24"/>
          <w:szCs w:val="24"/>
        </w:rPr>
        <w:t xml:space="preserve"> ujęte w katalogu są stawkami maksymalnymi</w:t>
      </w:r>
      <w:r w:rsidR="00333EE7" w:rsidRPr="000F0993">
        <w:rPr>
          <w:rFonts w:ascii="Times New Roman" w:hAnsi="Times New Roman" w:cs="Times New Roman"/>
          <w:sz w:val="24"/>
          <w:szCs w:val="24"/>
        </w:rPr>
        <w:t xml:space="preserve"> (uwzględniającymi wartość brutto wydatku)</w:t>
      </w:r>
      <w:r w:rsidRPr="000F0993">
        <w:rPr>
          <w:rFonts w:ascii="Times New Roman" w:hAnsi="Times New Roman" w:cs="Times New Roman"/>
          <w:sz w:val="24"/>
          <w:szCs w:val="24"/>
        </w:rPr>
        <w:t>, co jednak nie oznacza automatycznego akceptowania przez oceniających założonych kosztów na ich maksymalnym poziomie. Określenie stawek maksymalnych nie zwalnia członków Komisji Oceny Projektów z weryfikacji zasadności i</w:t>
      </w:r>
      <w:r w:rsidR="004E3EF7" w:rsidRPr="000F0993">
        <w:rPr>
          <w:rFonts w:ascii="Times New Roman" w:hAnsi="Times New Roman" w:cs="Times New Roman"/>
          <w:sz w:val="24"/>
          <w:szCs w:val="24"/>
        </w:rPr>
        <w:t xml:space="preserve"> </w:t>
      </w:r>
      <w:r w:rsidRPr="000F0993">
        <w:rPr>
          <w:rFonts w:ascii="Times New Roman" w:hAnsi="Times New Roman" w:cs="Times New Roman"/>
          <w:sz w:val="24"/>
          <w:szCs w:val="24"/>
        </w:rPr>
        <w:t xml:space="preserve">racjonalności wszystkich wydatków, również tych mieszczących się poniżej maksymalnego poziomu kosztu ustalonego przez Wojewódzki Urząd Pracy w Białymstoku. Przyjęcie stawki maksymalnej nie oznacza, że będzie ona akceptowana w każdym projekcie, ponieważ podczas oceny będą brane pod uwagę takie czynniki jak np. stopień złożoności projektu, wielkość grupy docelowej, wielkość zespołu projektowego. Fakt wskazania </w:t>
      </w:r>
      <w:r w:rsidR="000F0993">
        <w:rPr>
          <w:rFonts w:ascii="Times New Roman" w:hAnsi="Times New Roman" w:cs="Times New Roman"/>
          <w:sz w:val="24"/>
          <w:szCs w:val="24"/>
        </w:rPr>
        <w:br/>
      </w:r>
      <w:r w:rsidRPr="000F0993">
        <w:rPr>
          <w:rFonts w:ascii="Times New Roman" w:hAnsi="Times New Roman" w:cs="Times New Roman"/>
          <w:sz w:val="24"/>
          <w:szCs w:val="24"/>
        </w:rPr>
        <w:t>z przedstawionego zestawienia stawki we wniosku o</w:t>
      </w:r>
      <w:r w:rsidR="009273C7">
        <w:rPr>
          <w:rFonts w:ascii="Times New Roman" w:hAnsi="Times New Roman" w:cs="Times New Roman"/>
          <w:sz w:val="24"/>
          <w:szCs w:val="24"/>
        </w:rPr>
        <w:t xml:space="preserve"> </w:t>
      </w:r>
      <w:r w:rsidRPr="000F0993">
        <w:rPr>
          <w:rFonts w:ascii="Times New Roman" w:hAnsi="Times New Roman" w:cs="Times New Roman"/>
          <w:sz w:val="24"/>
          <w:szCs w:val="24"/>
        </w:rPr>
        <w:t>dofinasowanie nie może być podstawą beneficjenta do uzasadnienia wydatku uznanego za</w:t>
      </w:r>
      <w:r w:rsidR="004E3EF7" w:rsidRPr="000F0993">
        <w:rPr>
          <w:rFonts w:ascii="Times New Roman" w:hAnsi="Times New Roman" w:cs="Times New Roman"/>
          <w:sz w:val="24"/>
          <w:szCs w:val="24"/>
        </w:rPr>
        <w:t xml:space="preserve"> </w:t>
      </w:r>
      <w:r w:rsidRPr="000F0993">
        <w:rPr>
          <w:rFonts w:ascii="Times New Roman" w:hAnsi="Times New Roman" w:cs="Times New Roman"/>
          <w:sz w:val="24"/>
          <w:szCs w:val="24"/>
        </w:rPr>
        <w:t xml:space="preserve">niekwalifikowalny na etapie zatwierdzania wniosku o płatność i/lub kontroli (w przypadku gdy wystąpią podstawy do uznania wydatków za niekwalifikowalne). Należy pamiętać, że Wojewódzki Urząd Pracy w Białymstoku będzie </w:t>
      </w:r>
      <w:r w:rsidRPr="000F0993">
        <w:rPr>
          <w:rFonts w:ascii="Times New Roman" w:hAnsi="Times New Roman" w:cs="Times New Roman"/>
          <w:sz w:val="24"/>
          <w:szCs w:val="24"/>
        </w:rPr>
        <w:lastRenderedPageBreak/>
        <w:t xml:space="preserve">weryfikował zasadność i racjonalność na poziomie całego projektu, zadań, poszczególnych wydatków, w kontekście wszystkich projektów realizowanych przez beneficjenta oraz w kontekście  potencjału finansowego, kadrowego i technicznego beneficjenta. </w:t>
      </w:r>
    </w:p>
    <w:tbl>
      <w:tblPr>
        <w:tblStyle w:val="Tabela-Siatka"/>
        <w:tblW w:w="98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551"/>
      </w:tblGrid>
      <w:tr w:rsidR="005B51E9" w:rsidRPr="000F0993" w:rsidTr="00145456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BF2" w:rsidRPr="000F0993" w:rsidRDefault="00334C1C" w:rsidP="00EF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Kategoria kosztu/wydatku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BF2" w:rsidRPr="000F0993" w:rsidRDefault="001B22A4" w:rsidP="0058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5822E2"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pis wydatku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BF2" w:rsidRPr="000F0993" w:rsidRDefault="00AB1DEB" w:rsidP="00AB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Kwota brutto</w:t>
            </w:r>
            <w:r w:rsidR="007D7466"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039"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wydatku </w:t>
            </w:r>
            <w:r w:rsidR="007D7466"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  <w:r w:rsidR="007D7466"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której poziom </w:t>
            </w:r>
            <w:r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do zasady </w:t>
            </w:r>
            <w:r w:rsidR="007D7466" w:rsidRPr="000F0993">
              <w:rPr>
                <w:rFonts w:ascii="Times New Roman" w:hAnsi="Times New Roman" w:cs="Times New Roman"/>
                <w:b/>
                <w:sz w:val="24"/>
                <w:szCs w:val="24"/>
              </w:rPr>
              <w:t>nie powinien zostać przekroczony)</w:t>
            </w:r>
          </w:p>
        </w:tc>
      </w:tr>
      <w:tr w:rsidR="00613BC5" w:rsidRPr="000F0993" w:rsidTr="007940FB"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3BC5" w:rsidRDefault="00613BC5" w:rsidP="00613BC5">
            <w:pPr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5F9">
              <w:rPr>
                <w:rFonts w:ascii="Times New Roman" w:hAnsi="Times New Roman"/>
                <w:b/>
                <w:sz w:val="24"/>
                <w:szCs w:val="24"/>
              </w:rPr>
              <w:t>ZADANIA MERYTORYCZNE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3BC5" w:rsidRDefault="00613BC5" w:rsidP="00613BC5">
            <w:pPr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BC5" w:rsidRPr="00835B1B" w:rsidRDefault="00613BC5" w:rsidP="00613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835B1B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1) Wydatki na wynagrodzenie personelu są kwalifikowalne pod warunkiem, że ich wysokość odpowiada stawkom faktycznie stosowanym u beneficjenta poza projektami współfinansowanymi z funduszy strukturalnych i FS na analogicznych stanowiskach lub na stanowiskach wymagających analogicznych kwalifikacji. Dotyczy to również pozostałych składników wynagrodzenia personelu, w tym nagród i premii.</w:t>
            </w:r>
          </w:p>
          <w:p w:rsidR="00613BC5" w:rsidRPr="00835B1B" w:rsidRDefault="00613BC5" w:rsidP="00613B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</w:p>
          <w:p w:rsidR="00613BC5" w:rsidRDefault="00613BC5" w:rsidP="00613B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2) W przypadku obowiązku zatrudnienia nauczyciela zgodnie z Ustawą z dnia 26 stycznia 1982 roku – Karta Nauczyciela (Dz. U. 1982 Nr 3 poz. 19), zapisy Karty Nauczyciela należy traktować jako nadrzędne do stawek wskazanych w niniejszym dokumencie, z uwzględnieniem zapisów punktu pierwszego.</w:t>
            </w:r>
          </w:p>
          <w:p w:rsidR="00613BC5" w:rsidRDefault="00613BC5" w:rsidP="00613B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BC5" w:rsidRDefault="00613BC5" w:rsidP="00613B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>Zgodnie z Art. 35a. Ustawy Karta Nauczyciela:</w:t>
            </w: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1. Nauczycielom wymienionym w art. 1 ust.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 xml:space="preserve">Ustawy Karta Nauczyciela, którzy w ramach programów finansowanych ze środków pochodzących z budżetu Unii Europejskiej prowadzą zajęcia bezpośrednio z uczniami lub wychowankami albo na ich rzecz, za każdą godzinę  prowadzenia tych zajęć przysługuje wynagrodzenie w wysokości ustalonej w sposób określony </w:t>
            </w:r>
            <w:r w:rsidR="0040212C">
              <w:rPr>
                <w:rFonts w:ascii="Times New Roman" w:hAnsi="Times New Roman"/>
                <w:sz w:val="24"/>
                <w:szCs w:val="24"/>
              </w:rPr>
              <w:br/>
            </w:r>
            <w:r w:rsidRPr="005149E0">
              <w:rPr>
                <w:rFonts w:ascii="Times New Roman" w:hAnsi="Times New Roman"/>
                <w:sz w:val="24"/>
                <w:szCs w:val="24"/>
              </w:rPr>
              <w:t>w art. 35 ust. 3.</w:t>
            </w: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 xml:space="preserve">2. Zajęcia, o których mowa 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art. 35a Ustawy Karta Nauczyciela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>ust. 1, są przydzielane za zgodą nauczyciela.</w:t>
            </w: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 xml:space="preserve">3. Zajęcia, o których mowa w </w:t>
            </w:r>
            <w:r>
              <w:rPr>
                <w:rFonts w:ascii="Times New Roman" w:hAnsi="Times New Roman"/>
                <w:sz w:val="24"/>
                <w:szCs w:val="24"/>
              </w:rPr>
              <w:t>art. 35a Ustawy Karta Nauczyciela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 xml:space="preserve"> ust. 1, nie są wliczane do  tygodniowego obowiązkowego wymiaru godzin zajęć dydaktycznych, wychowawczych </w:t>
            </w:r>
            <w:r w:rsidR="0040212C">
              <w:rPr>
                <w:rFonts w:ascii="Times New Roman" w:hAnsi="Times New Roman"/>
                <w:sz w:val="24"/>
                <w:szCs w:val="24"/>
              </w:rPr>
              <w:br/>
            </w:r>
            <w:r w:rsidRPr="005149E0">
              <w:rPr>
                <w:rFonts w:ascii="Times New Roman" w:hAnsi="Times New Roman"/>
                <w:sz w:val="24"/>
                <w:szCs w:val="24"/>
              </w:rPr>
              <w:t>i opiekuńczych, prowadzonych bezpośrednio z uczniami lub wychowankami albo na ich rzecz.</w:t>
            </w:r>
          </w:p>
          <w:p w:rsidR="00613BC5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4. Wynagrodzenia nauczycieli, o którym mowa w ust. 1, nie uwzględnia się przy obliczaniu kwot  wydatkowanych na średnie wynagrodzenia nauczycieli, o których mowa w art. 30 ust. 3.</w:t>
            </w:r>
          </w:p>
          <w:p w:rsidR="0040212C" w:rsidRPr="005149E0" w:rsidRDefault="0040212C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3BC5" w:rsidRDefault="00613BC5" w:rsidP="00613B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 xml:space="preserve">Istnieje również możliwość zatrudnienia nauczyciela na podstawie Art.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 xml:space="preserve">. Ustawy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Prawo oświatowe</w:t>
            </w:r>
            <w:r w:rsidRPr="005149E0">
              <w:rPr>
                <w:rFonts w:ascii="Times New Roman" w:hAnsi="Times New Roman"/>
                <w:b/>
                <w:sz w:val="24"/>
                <w:szCs w:val="24"/>
              </w:rPr>
              <w:t xml:space="preserve"> zgodnie z którym:</w:t>
            </w:r>
          </w:p>
          <w:p w:rsidR="0040212C" w:rsidRPr="005149E0" w:rsidRDefault="0040212C" w:rsidP="00613B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>W celu realizacji zajęć w ramach  programów finansowanych ze środków pochodzących z budżetu Unii Europejskiej, prowadzonych bezpośrednio z uczniami lub wychowankami albo na ich rzecz, w szkole lub placówce publicznej może być zatrudniony nauczyciel, który nie realizuje w tej szkole lub placówce tygodniowego obowiązkowego wymiaru godzin zajęć dydaktycznych, wychowawczych i opiekuńczych, posiadający kwalifikacje określone w przepisach wydanych na podstawie art. 9 ust. 2 i 3 ustawy z dnia 26 stycznia 1982 r. – Karta Nauczyciela oraz spełniający warunki określone w art. 10 ust. 5 pkt 2–4a tej ustawy. W celu potwierdzenia spełnienia:</w:t>
            </w: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>1) warunku, o którym mowa w art. 10 ust. 5  pkt 4 ustawy z dnia 26 stycznia 1982 r. – Karta Nauczyciela, nauczyciel, przed nawiązaniem stosunku pracy, jest obowiązany przedstawić dyrektorowi szkoły lub placówki informację z Krajowego Rejestru Karnego;</w:t>
            </w:r>
          </w:p>
          <w:p w:rsidR="00613BC5" w:rsidRPr="005149E0" w:rsidRDefault="00613BC5" w:rsidP="00613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 xml:space="preserve">2) warunku, o którym mowa w art. 10 ust. 5 pkt 4a ustawy z dnia 26 stycznia 1982 r. – Karta Nauczyciela, nauczyciel, przed nawiązaniem stosunku pracy, jest obowiązany przedstawić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lastRenderedPageBreak/>
              <w:t>dyrektorowi szkoły lub placówki informację z rejestru, o którym mowa w art. 85w ust. 1 tej ustawy.</w:t>
            </w:r>
          </w:p>
          <w:p w:rsidR="00613BC5" w:rsidRPr="00EC3067" w:rsidRDefault="00613BC5" w:rsidP="00EC3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E0">
              <w:rPr>
                <w:rFonts w:ascii="Times New Roman" w:hAnsi="Times New Roman"/>
                <w:sz w:val="24"/>
                <w:szCs w:val="24"/>
              </w:rPr>
              <w:t xml:space="preserve">2. Nauczyciela, o którym mowa w ust. 1, zatrudnia się na zasadach określonych w Kodeksie pracy, z tym że za każdą godzinę prowadzenia zajęć, o których mowa w ust. 1, nauczycielowi przysługuje wynagrodzenie nie wyższe niż wynagrodzenie za jedną godzinę prowadzenia zajęć ustalone </w:t>
            </w:r>
            <w:r w:rsidR="00EC3067">
              <w:rPr>
                <w:rFonts w:ascii="Times New Roman" w:hAnsi="Times New Roman"/>
                <w:sz w:val="24"/>
                <w:szCs w:val="24"/>
              </w:rPr>
              <w:br/>
            </w:r>
            <w:r w:rsidRPr="005149E0">
              <w:rPr>
                <w:rFonts w:ascii="Times New Roman" w:hAnsi="Times New Roman"/>
                <w:sz w:val="24"/>
                <w:szCs w:val="24"/>
              </w:rPr>
              <w:t>w sposób określony w art. 35 ust. 3 ustawy z dnia 26 stycznia 1982 r.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9E0">
              <w:rPr>
                <w:rFonts w:ascii="Times New Roman" w:hAnsi="Times New Roman"/>
                <w:sz w:val="24"/>
                <w:szCs w:val="24"/>
              </w:rPr>
              <w:t>Karta Nauczyciela dla nauczyciela dyplomowanego posiadającego wykształcenie wyższe magisterskie i realizującego tygodniowy obowiązkowy wymiar godzin zajęć, o którym mowa w art. 42 ust. 3 w tabeli w lp. 3 tej ustawy.</w:t>
            </w:r>
          </w:p>
        </w:tc>
      </w:tr>
      <w:tr w:rsidR="00613BC5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613BC5" w:rsidRPr="00467857" w:rsidRDefault="00EC3067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Psycholog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613BC5" w:rsidRPr="00467857" w:rsidRDefault="00EC3067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57">
              <w:rPr>
                <w:rFonts w:ascii="Times New Roman" w:hAnsi="Times New Roman"/>
                <w:sz w:val="24"/>
                <w:szCs w:val="24"/>
              </w:rPr>
              <w:t>Czas trwania poszczególnych zajęć może się różnić. Zasadniczo stawka dotyczy godziny rozumianej jako 50 minut, chyba że przepisy szczegółowe określają/dopuszczają inny wymiar czasu trwania konkretnego rodzaju zajęć.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13BC5" w:rsidRPr="00467857" w:rsidRDefault="00467857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5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="00613BC5" w:rsidRPr="00467857">
              <w:rPr>
                <w:rFonts w:ascii="Times New Roman" w:hAnsi="Times New Roman" w:cs="Times New Roman"/>
                <w:sz w:val="24"/>
                <w:szCs w:val="24"/>
              </w:rPr>
              <w:t xml:space="preserve"> zł/</w:t>
            </w:r>
            <w:r w:rsidRPr="00467857">
              <w:rPr>
                <w:rFonts w:ascii="Times New Roman" w:hAnsi="Times New Roman" w:cs="Times New Roman"/>
                <w:sz w:val="24"/>
                <w:szCs w:val="24"/>
              </w:rPr>
              <w:t>50 minut</w:t>
            </w:r>
          </w:p>
        </w:tc>
      </w:tr>
      <w:tr w:rsidR="00B7449B" w:rsidRPr="0060525D" w:rsidTr="00145456">
        <w:tc>
          <w:tcPr>
            <w:tcW w:w="2943" w:type="dxa"/>
          </w:tcPr>
          <w:p w:rsidR="00B7449B" w:rsidRPr="00C0353A" w:rsidRDefault="00B7449B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Logopeda</w:t>
            </w:r>
          </w:p>
        </w:tc>
        <w:tc>
          <w:tcPr>
            <w:tcW w:w="4395" w:type="dxa"/>
          </w:tcPr>
          <w:p w:rsidR="00B7449B" w:rsidRPr="00C0353A" w:rsidRDefault="00B7449B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określają/dopuszczają inny wymiar czasu trwania konkretnego rodzaju zajęć.</w:t>
            </w:r>
          </w:p>
        </w:tc>
        <w:tc>
          <w:tcPr>
            <w:tcW w:w="2551" w:type="dxa"/>
          </w:tcPr>
          <w:p w:rsidR="00B7449B" w:rsidRPr="00C0353A" w:rsidRDefault="00B7449B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80,00 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zł/h</w:t>
            </w:r>
          </w:p>
        </w:tc>
      </w:tr>
      <w:tr w:rsidR="00B7449B" w:rsidRPr="0060525D" w:rsidTr="00F57FA0">
        <w:tc>
          <w:tcPr>
            <w:tcW w:w="2943" w:type="dxa"/>
            <w:tcBorders>
              <w:bottom w:val="single" w:sz="4" w:space="0" w:color="auto"/>
            </w:tcBorders>
          </w:tcPr>
          <w:p w:rsidR="00B7449B" w:rsidRPr="00C0353A" w:rsidRDefault="00B7449B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/ trener </w:t>
            </w:r>
            <w:r w:rsidRPr="000B479B">
              <w:rPr>
                <w:rFonts w:ascii="Times New Roman" w:hAnsi="Times New Roman"/>
                <w:sz w:val="24"/>
                <w:szCs w:val="24"/>
              </w:rPr>
              <w:t xml:space="preserve">prowadzący zajęcia </w:t>
            </w:r>
            <w:r>
              <w:rPr>
                <w:rFonts w:ascii="Times New Roman" w:hAnsi="Times New Roman"/>
                <w:sz w:val="24"/>
                <w:szCs w:val="24"/>
              </w:rPr>
              <w:t>dodatkowe dla dzieci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7449B" w:rsidRPr="00C0353A" w:rsidRDefault="00B7449B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najmniej 2 lata doświadczenia zawodowego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danym obszarze merytorycznym. Stawka dotyczy godziny rozumianej jako 60 minut.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49B" w:rsidRPr="00C0353A" w:rsidRDefault="00B7449B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zł/h</w:t>
            </w:r>
          </w:p>
        </w:tc>
      </w:tr>
      <w:tr w:rsidR="006E59FC" w:rsidRPr="0060525D" w:rsidTr="00F57FA0">
        <w:tc>
          <w:tcPr>
            <w:tcW w:w="9889" w:type="dxa"/>
            <w:gridSpan w:val="3"/>
            <w:shd w:val="clear" w:color="auto" w:fill="B2A1C7" w:themeFill="accent4" w:themeFillTint="99"/>
          </w:tcPr>
          <w:p w:rsidR="006E59FC" w:rsidRPr="006E59FC" w:rsidRDefault="00B106BD" w:rsidP="00B74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MEBLE I </w:t>
            </w:r>
            <w:r w:rsidR="006E59FC" w:rsidRPr="006E59FC">
              <w:rPr>
                <w:rFonts w:ascii="Times New Roman" w:hAnsi="Times New Roman"/>
                <w:b/>
                <w:sz w:val="24"/>
                <w:szCs w:val="24"/>
              </w:rPr>
              <w:t>WYPOSAŻENIE</w:t>
            </w:r>
          </w:p>
        </w:tc>
      </w:tr>
      <w:tr w:rsidR="00FB19A9" w:rsidRPr="0060525D" w:rsidTr="00145456">
        <w:tc>
          <w:tcPr>
            <w:tcW w:w="2943" w:type="dxa"/>
          </w:tcPr>
          <w:p w:rsidR="00FB19A9" w:rsidRDefault="00836AD0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Tablet</w:t>
            </w:r>
          </w:p>
        </w:tc>
        <w:tc>
          <w:tcPr>
            <w:tcW w:w="4395" w:type="dxa"/>
          </w:tcPr>
          <w:p w:rsidR="00FB19A9" w:rsidRPr="00C0353A" w:rsidRDefault="00836AD0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Dysk twardy 32 GB, przekątna ekranu powyżej 10.1 cala o rozdzielczości ekranu 1920x1200, system operacyjny Android.</w:t>
            </w:r>
          </w:p>
        </w:tc>
        <w:tc>
          <w:tcPr>
            <w:tcW w:w="2551" w:type="dxa"/>
          </w:tcPr>
          <w:p w:rsidR="00FB19A9" w:rsidRDefault="00836AD0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845,00 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zł/</w:t>
            </w: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</w:tr>
      <w:tr w:rsidR="00836AD0" w:rsidRPr="0060525D" w:rsidTr="00145456">
        <w:tc>
          <w:tcPr>
            <w:tcW w:w="2943" w:type="dxa"/>
          </w:tcPr>
          <w:p w:rsidR="00836AD0" w:rsidRDefault="00836AD0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Laptop</w:t>
            </w:r>
          </w:p>
        </w:tc>
        <w:tc>
          <w:tcPr>
            <w:tcW w:w="4395" w:type="dxa"/>
          </w:tcPr>
          <w:p w:rsidR="00836AD0" w:rsidRDefault="00214342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Procesor Intel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i5,</w:t>
            </w:r>
            <w:r w:rsidR="009F1B6A">
              <w:rPr>
                <w:rFonts w:ascii="Times New Roman" w:hAnsi="Times New Roman"/>
                <w:sz w:val="24"/>
                <w:szCs w:val="24"/>
              </w:rPr>
              <w:t xml:space="preserve"> pamięć RAM 8 GB, dysk twardy 256 GB, przekątna ekranu 14 cala, rozdzielczość ekranu 1920x1080, system operacyjny Windows 10</w:t>
            </w:r>
          </w:p>
        </w:tc>
        <w:tc>
          <w:tcPr>
            <w:tcW w:w="2551" w:type="dxa"/>
          </w:tcPr>
          <w:p w:rsidR="00836AD0" w:rsidRDefault="00214342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3 066,00 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zł/</w:t>
            </w: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</w:tr>
      <w:tr w:rsidR="00ED550A" w:rsidRPr="0060525D" w:rsidTr="00145456">
        <w:tc>
          <w:tcPr>
            <w:tcW w:w="2943" w:type="dxa"/>
          </w:tcPr>
          <w:p w:rsidR="00ED550A" w:rsidRDefault="005830F5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Oprogramowanie biurowe</w:t>
            </w:r>
          </w:p>
        </w:tc>
        <w:tc>
          <w:tcPr>
            <w:tcW w:w="4395" w:type="dxa"/>
          </w:tcPr>
          <w:p w:rsidR="00ED550A" w:rsidRDefault="005830F5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Project 2016</w:t>
            </w:r>
          </w:p>
        </w:tc>
        <w:tc>
          <w:tcPr>
            <w:tcW w:w="2551" w:type="dxa"/>
          </w:tcPr>
          <w:p w:rsidR="00ED550A" w:rsidRDefault="005830F5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2 293,00 zł/szt.</w:t>
            </w:r>
          </w:p>
        </w:tc>
      </w:tr>
      <w:tr w:rsidR="006D05FE" w:rsidRPr="0060525D" w:rsidTr="00145456">
        <w:tc>
          <w:tcPr>
            <w:tcW w:w="2943" w:type="dxa"/>
          </w:tcPr>
          <w:p w:rsidR="006D05FE" w:rsidRDefault="006D05FE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stacjonarny</w:t>
            </w:r>
          </w:p>
        </w:tc>
        <w:tc>
          <w:tcPr>
            <w:tcW w:w="4395" w:type="dxa"/>
          </w:tcPr>
          <w:p w:rsidR="006D05FE" w:rsidRDefault="008A502D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stacjonarny, 8 GB RAM-u, dysk twardy 1000 GB</w:t>
            </w:r>
          </w:p>
        </w:tc>
        <w:tc>
          <w:tcPr>
            <w:tcW w:w="2551" w:type="dxa"/>
          </w:tcPr>
          <w:p w:rsidR="006D05FE" w:rsidRDefault="008A502D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2 916</w:t>
            </w:r>
            <w:r w:rsidR="006D05FE">
              <w:rPr>
                <w:rFonts w:ascii="Times New Roman" w:hAnsi="Times New Roman"/>
                <w:sz w:val="24"/>
                <w:szCs w:val="24"/>
              </w:rPr>
              <w:t>,00 zł/szt.</w:t>
            </w:r>
          </w:p>
        </w:tc>
      </w:tr>
      <w:tr w:rsidR="008C0593" w:rsidRPr="0060525D" w:rsidTr="00145456">
        <w:tc>
          <w:tcPr>
            <w:tcW w:w="2943" w:type="dxa"/>
          </w:tcPr>
          <w:p w:rsidR="008C0593" w:rsidRDefault="008C0593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</w:t>
            </w:r>
          </w:p>
        </w:tc>
        <w:tc>
          <w:tcPr>
            <w:tcW w:w="4395" w:type="dxa"/>
          </w:tcPr>
          <w:p w:rsidR="008C0593" w:rsidRDefault="00071BF4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Przekątna</w:t>
            </w:r>
            <w:r w:rsidR="009270C6">
              <w:rPr>
                <w:rFonts w:ascii="Times New Roman" w:hAnsi="Times New Roman"/>
                <w:sz w:val="24"/>
                <w:szCs w:val="24"/>
              </w:rPr>
              <w:t xml:space="preserve"> do 31,5 cala</w:t>
            </w:r>
          </w:p>
        </w:tc>
        <w:tc>
          <w:tcPr>
            <w:tcW w:w="2551" w:type="dxa"/>
          </w:tcPr>
          <w:p w:rsidR="008C0593" w:rsidRDefault="00FE7DFE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899,00 zł/szt.</w:t>
            </w:r>
          </w:p>
        </w:tc>
      </w:tr>
      <w:tr w:rsidR="00840E6A" w:rsidRPr="0060525D" w:rsidTr="00145456">
        <w:tc>
          <w:tcPr>
            <w:tcW w:w="2943" w:type="dxa"/>
          </w:tcPr>
          <w:p w:rsidR="00840E6A" w:rsidRDefault="00840E6A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UPS</w:t>
            </w:r>
          </w:p>
        </w:tc>
        <w:tc>
          <w:tcPr>
            <w:tcW w:w="4395" w:type="dxa"/>
          </w:tcPr>
          <w:p w:rsidR="00840E6A" w:rsidRDefault="00C32E9F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40E6A" w:rsidRDefault="00840E6A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308,00 zł/szt.</w:t>
            </w:r>
          </w:p>
        </w:tc>
      </w:tr>
      <w:tr w:rsidR="005B5590" w:rsidRPr="0060525D" w:rsidTr="00145456">
        <w:tc>
          <w:tcPr>
            <w:tcW w:w="2943" w:type="dxa"/>
          </w:tcPr>
          <w:p w:rsidR="005B5590" w:rsidRDefault="005B5590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Drukarka laserowa</w:t>
            </w:r>
            <w:r w:rsidR="0081064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95" w:type="dxa"/>
          </w:tcPr>
          <w:p w:rsidR="005B5590" w:rsidRDefault="00C56C56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5B5590" w:rsidRDefault="005B5590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405,00 zł/szt.</w:t>
            </w:r>
          </w:p>
        </w:tc>
      </w:tr>
      <w:tr w:rsidR="00E5739E" w:rsidRPr="0060525D" w:rsidTr="00145456">
        <w:tc>
          <w:tcPr>
            <w:tcW w:w="2943" w:type="dxa"/>
          </w:tcPr>
          <w:p w:rsidR="00E5739E" w:rsidRDefault="00E5739E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Urządzenie wielofunkcyjne</w:t>
            </w:r>
            <w:r w:rsidR="00EB4F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95" w:type="dxa"/>
          </w:tcPr>
          <w:p w:rsidR="00E5739E" w:rsidRDefault="00E5739E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739E" w:rsidRDefault="009904C8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2 574,00 zł/szt.</w:t>
            </w:r>
          </w:p>
        </w:tc>
      </w:tr>
      <w:tr w:rsidR="003733DE" w:rsidRPr="0060525D" w:rsidTr="00145456">
        <w:tc>
          <w:tcPr>
            <w:tcW w:w="2943" w:type="dxa"/>
          </w:tcPr>
          <w:p w:rsidR="003733DE" w:rsidRDefault="003733DE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Skaner</w:t>
            </w:r>
          </w:p>
        </w:tc>
        <w:tc>
          <w:tcPr>
            <w:tcW w:w="4395" w:type="dxa"/>
          </w:tcPr>
          <w:p w:rsidR="003733DE" w:rsidRDefault="001F2C76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Skaner płaski</w:t>
            </w:r>
          </w:p>
        </w:tc>
        <w:tc>
          <w:tcPr>
            <w:tcW w:w="2551" w:type="dxa"/>
          </w:tcPr>
          <w:p w:rsidR="003733DE" w:rsidRDefault="003733DE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352,00 zł/szt.</w:t>
            </w:r>
          </w:p>
        </w:tc>
      </w:tr>
      <w:tr w:rsidR="00456D7F" w:rsidRPr="0060525D" w:rsidTr="00145456">
        <w:tc>
          <w:tcPr>
            <w:tcW w:w="2943" w:type="dxa"/>
          </w:tcPr>
          <w:p w:rsidR="00456D7F" w:rsidRDefault="00456D7F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Projektor</w:t>
            </w:r>
          </w:p>
        </w:tc>
        <w:tc>
          <w:tcPr>
            <w:tcW w:w="4395" w:type="dxa"/>
          </w:tcPr>
          <w:p w:rsidR="00456D7F" w:rsidRDefault="00456D7F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Jasność min. 3000 lumenów</w:t>
            </w:r>
          </w:p>
        </w:tc>
        <w:tc>
          <w:tcPr>
            <w:tcW w:w="2551" w:type="dxa"/>
          </w:tcPr>
          <w:p w:rsidR="00456D7F" w:rsidRDefault="00456D7F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1 613,00 zł/szt.</w:t>
            </w:r>
          </w:p>
        </w:tc>
      </w:tr>
      <w:tr w:rsidR="001F07F0" w:rsidRPr="0060525D" w:rsidTr="00145456">
        <w:tc>
          <w:tcPr>
            <w:tcW w:w="2943" w:type="dxa"/>
          </w:tcPr>
          <w:p w:rsidR="001F07F0" w:rsidRDefault="001F07F0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Tablica interaktywna</w:t>
            </w:r>
          </w:p>
        </w:tc>
        <w:tc>
          <w:tcPr>
            <w:tcW w:w="4395" w:type="dxa"/>
          </w:tcPr>
          <w:p w:rsidR="001F07F0" w:rsidRDefault="00F74EA3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osz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obejmuje tablicę interaktywną z oprogramowaniem i sprzętem niezbędnym do obsługi / montażu, takim jak np. uchwyty do montażu, kabel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pisaki wraz z półką.</w:t>
            </w:r>
          </w:p>
        </w:tc>
        <w:tc>
          <w:tcPr>
            <w:tcW w:w="2551" w:type="dxa"/>
          </w:tcPr>
          <w:p w:rsidR="001F07F0" w:rsidRDefault="00F74EA3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4 393,00 zł/szt.</w:t>
            </w:r>
          </w:p>
        </w:tc>
      </w:tr>
      <w:tr w:rsidR="00405B4E" w:rsidRPr="0060525D" w:rsidTr="00145456">
        <w:tc>
          <w:tcPr>
            <w:tcW w:w="2943" w:type="dxa"/>
          </w:tcPr>
          <w:p w:rsidR="00405B4E" w:rsidRDefault="00352AE9" w:rsidP="00B7449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Ekran projekcyjny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manualny</w:t>
            </w:r>
          </w:p>
        </w:tc>
        <w:tc>
          <w:tcPr>
            <w:tcW w:w="4395" w:type="dxa"/>
          </w:tcPr>
          <w:p w:rsidR="00405B4E" w:rsidRDefault="009E6DDE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 wymiarach nie mniejszych niż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 cm x 1</w:t>
            </w:r>
            <w:r w:rsidR="005A161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cm.</w:t>
            </w:r>
          </w:p>
        </w:tc>
        <w:tc>
          <w:tcPr>
            <w:tcW w:w="2551" w:type="dxa"/>
          </w:tcPr>
          <w:p w:rsidR="00405B4E" w:rsidRDefault="009E6DDE" w:rsidP="00B74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339,00 zł/szt.</w:t>
            </w:r>
          </w:p>
        </w:tc>
      </w:tr>
      <w:tr w:rsidR="00B106BD" w:rsidRPr="0060525D" w:rsidTr="00145456">
        <w:tc>
          <w:tcPr>
            <w:tcW w:w="2943" w:type="dxa"/>
          </w:tcPr>
          <w:p w:rsidR="00B106BD" w:rsidRPr="00C0353A" w:rsidRDefault="00B106BD" w:rsidP="00B106BD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Aparat cyfrowy</w:t>
            </w:r>
          </w:p>
        </w:tc>
        <w:tc>
          <w:tcPr>
            <w:tcW w:w="4395" w:type="dxa"/>
            <w:vAlign w:val="center"/>
          </w:tcPr>
          <w:p w:rsidR="00B106BD" w:rsidRPr="00C0353A" w:rsidRDefault="00B106BD" w:rsidP="00B10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106BD" w:rsidRPr="00C0353A" w:rsidRDefault="00C721A0" w:rsidP="00B10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843,00 </w:t>
            </w:r>
            <w:r w:rsidR="00B106BD" w:rsidRPr="00C0353A">
              <w:rPr>
                <w:rFonts w:ascii="Times New Roman" w:hAnsi="Times New Roman"/>
                <w:sz w:val="24"/>
                <w:szCs w:val="24"/>
              </w:rPr>
              <w:t>zł/szt.</w:t>
            </w:r>
          </w:p>
        </w:tc>
      </w:tr>
      <w:tr w:rsidR="00EE0401" w:rsidRPr="0060525D" w:rsidTr="00145456">
        <w:tc>
          <w:tcPr>
            <w:tcW w:w="2943" w:type="dxa"/>
          </w:tcPr>
          <w:p w:rsidR="00EE0401" w:rsidRPr="00C0353A" w:rsidRDefault="00EE0401" w:rsidP="00EE0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amera cyfrowa</w:t>
            </w:r>
          </w:p>
        </w:tc>
        <w:tc>
          <w:tcPr>
            <w:tcW w:w="4395" w:type="dxa"/>
            <w:vAlign w:val="center"/>
          </w:tcPr>
          <w:p w:rsidR="00EE0401" w:rsidRPr="00C0353A" w:rsidRDefault="00EE0401" w:rsidP="00EE0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E0401" w:rsidRPr="00C0353A" w:rsidRDefault="00EE0401" w:rsidP="00EE0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C80CD6" w:rsidRPr="0060525D" w:rsidTr="00145456">
        <w:tc>
          <w:tcPr>
            <w:tcW w:w="2943" w:type="dxa"/>
          </w:tcPr>
          <w:p w:rsidR="00C80CD6" w:rsidRPr="00C0353A" w:rsidRDefault="00C80CD6" w:rsidP="00C80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ikroskop</w:t>
            </w:r>
          </w:p>
        </w:tc>
        <w:tc>
          <w:tcPr>
            <w:tcW w:w="4395" w:type="dxa"/>
            <w:vAlign w:val="center"/>
          </w:tcPr>
          <w:p w:rsidR="00C80CD6" w:rsidRPr="00C0353A" w:rsidRDefault="00C80CD6" w:rsidP="00C80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80CD6" w:rsidRPr="00C0353A" w:rsidRDefault="00C80CD6" w:rsidP="00C80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C95F88" w:rsidRPr="0060525D" w:rsidTr="00145456">
        <w:tc>
          <w:tcPr>
            <w:tcW w:w="2943" w:type="dxa"/>
          </w:tcPr>
          <w:p w:rsidR="00C95F88" w:rsidRPr="00C0353A" w:rsidRDefault="00C95F88" w:rsidP="00C95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Telewizor</w:t>
            </w:r>
          </w:p>
        </w:tc>
        <w:tc>
          <w:tcPr>
            <w:tcW w:w="4395" w:type="dxa"/>
          </w:tcPr>
          <w:p w:rsidR="00C95F88" w:rsidRPr="00C0353A" w:rsidRDefault="00C95F88" w:rsidP="00C95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Przekątna do 55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cal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C95F88" w:rsidRPr="00C0353A" w:rsidRDefault="00C95F88" w:rsidP="00C95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0 zł/szt.</w:t>
            </w:r>
          </w:p>
        </w:tc>
      </w:tr>
      <w:tr w:rsidR="00807727" w:rsidRPr="0060525D" w:rsidTr="00145456">
        <w:tc>
          <w:tcPr>
            <w:tcW w:w="2943" w:type="dxa"/>
          </w:tcPr>
          <w:p w:rsidR="00807727" w:rsidRPr="00C0353A" w:rsidRDefault="00807727" w:rsidP="00807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dtwarzacz DVD</w:t>
            </w:r>
          </w:p>
        </w:tc>
        <w:tc>
          <w:tcPr>
            <w:tcW w:w="4395" w:type="dxa"/>
            <w:vAlign w:val="center"/>
          </w:tcPr>
          <w:p w:rsidR="00807727" w:rsidRPr="00C0353A" w:rsidRDefault="00807727" w:rsidP="00807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7727" w:rsidRPr="00C0353A" w:rsidRDefault="00807727" w:rsidP="00807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15</w:t>
            </w:r>
            <w:r w:rsidR="00595A42">
              <w:rPr>
                <w:rFonts w:ascii="Times New Roman" w:hAnsi="Times New Roman"/>
                <w:sz w:val="24"/>
                <w:szCs w:val="24"/>
              </w:rPr>
              <w:t>3,00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207751" w:rsidRPr="0060525D" w:rsidTr="00145456">
        <w:tc>
          <w:tcPr>
            <w:tcW w:w="2943" w:type="dxa"/>
          </w:tcPr>
          <w:p w:rsidR="00207751" w:rsidRPr="00C0353A" w:rsidRDefault="00207751" w:rsidP="002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adio</w:t>
            </w:r>
          </w:p>
        </w:tc>
        <w:tc>
          <w:tcPr>
            <w:tcW w:w="4395" w:type="dxa"/>
          </w:tcPr>
          <w:p w:rsidR="00207751" w:rsidRPr="00C0353A" w:rsidRDefault="00207751" w:rsidP="002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Z odtwarzaniem płyt CD</w:t>
            </w:r>
          </w:p>
        </w:tc>
        <w:tc>
          <w:tcPr>
            <w:tcW w:w="2551" w:type="dxa"/>
          </w:tcPr>
          <w:p w:rsidR="00207751" w:rsidRPr="00C0353A" w:rsidRDefault="005B2685" w:rsidP="002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239,00</w:t>
            </w:r>
            <w:r w:rsidR="00207751"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C2625E" w:rsidRPr="0060525D" w:rsidTr="00145456">
        <w:tc>
          <w:tcPr>
            <w:tcW w:w="2943" w:type="dxa"/>
          </w:tcPr>
          <w:p w:rsidR="00C2625E" w:rsidRPr="00C0353A" w:rsidRDefault="00C2625E" w:rsidP="00C26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yktafon</w:t>
            </w:r>
          </w:p>
        </w:tc>
        <w:tc>
          <w:tcPr>
            <w:tcW w:w="4395" w:type="dxa"/>
            <w:vAlign w:val="center"/>
          </w:tcPr>
          <w:p w:rsidR="00C2625E" w:rsidRPr="00C0353A" w:rsidRDefault="00C2625E" w:rsidP="00C26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2625E" w:rsidRPr="00C0353A" w:rsidRDefault="00C2625E" w:rsidP="00C26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0E0009" w:rsidRPr="0060525D" w:rsidTr="00145456">
        <w:tc>
          <w:tcPr>
            <w:tcW w:w="2943" w:type="dxa"/>
          </w:tcPr>
          <w:p w:rsidR="000E0009" w:rsidRPr="00C63033" w:rsidRDefault="000E0009" w:rsidP="000E000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33">
              <w:rPr>
                <w:rFonts w:ascii="Times New Roman" w:hAnsi="Times New Roman"/>
                <w:sz w:val="24"/>
                <w:szCs w:val="24"/>
              </w:rPr>
              <w:t>Krzesło obrotowe</w:t>
            </w:r>
          </w:p>
        </w:tc>
        <w:tc>
          <w:tcPr>
            <w:tcW w:w="4395" w:type="dxa"/>
            <w:vAlign w:val="center"/>
          </w:tcPr>
          <w:p w:rsidR="000E0009" w:rsidRPr="00C63033" w:rsidRDefault="000E0009" w:rsidP="000E0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E0009" w:rsidRPr="00C63033" w:rsidRDefault="000E0009" w:rsidP="000E0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33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2,00</w:t>
            </w:r>
            <w:r w:rsidRPr="00C63033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34650E" w:rsidRPr="0060525D" w:rsidTr="00145456">
        <w:tc>
          <w:tcPr>
            <w:tcW w:w="2943" w:type="dxa"/>
          </w:tcPr>
          <w:p w:rsidR="0034650E" w:rsidRPr="00C0353A" w:rsidRDefault="0034650E" w:rsidP="00346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ablica </w:t>
            </w:r>
            <w:proofErr w:type="spellStart"/>
            <w:r w:rsidRPr="00C0353A">
              <w:rPr>
                <w:rFonts w:ascii="Times New Roman" w:hAnsi="Times New Roman"/>
                <w:sz w:val="24"/>
                <w:szCs w:val="24"/>
              </w:rPr>
              <w:t>suchościeralna</w:t>
            </w:r>
            <w:proofErr w:type="spellEnd"/>
          </w:p>
        </w:tc>
        <w:tc>
          <w:tcPr>
            <w:tcW w:w="4395" w:type="dxa"/>
          </w:tcPr>
          <w:p w:rsidR="0034650E" w:rsidRPr="00C0353A" w:rsidRDefault="0034650E" w:rsidP="00346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Tablica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3A">
              <w:rPr>
                <w:rFonts w:ascii="Times New Roman" w:hAnsi="Times New Roman"/>
                <w:sz w:val="24"/>
                <w:szCs w:val="24"/>
              </w:rPr>
              <w:t>suchościeralna</w:t>
            </w:r>
            <w:proofErr w:type="spellEnd"/>
            <w:r w:rsidRPr="00C03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wymiarach nie mniejszych niż 180 cm x 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120 cm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650E" w:rsidRPr="00C0353A" w:rsidRDefault="0034650E" w:rsidP="00346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710333" w:rsidRPr="0060525D" w:rsidTr="00145456">
        <w:tc>
          <w:tcPr>
            <w:tcW w:w="2943" w:type="dxa"/>
          </w:tcPr>
          <w:p w:rsidR="00710333" w:rsidRPr="00C63033" w:rsidRDefault="00710333" w:rsidP="0071033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033">
              <w:rPr>
                <w:rFonts w:ascii="Times New Roman" w:hAnsi="Times New Roman"/>
                <w:sz w:val="24"/>
                <w:szCs w:val="24"/>
              </w:rPr>
              <w:t>Szafa biurowa na dokumenty</w:t>
            </w:r>
          </w:p>
        </w:tc>
        <w:tc>
          <w:tcPr>
            <w:tcW w:w="4395" w:type="dxa"/>
          </w:tcPr>
          <w:p w:rsidR="00710333" w:rsidRPr="00C63033" w:rsidRDefault="00710333" w:rsidP="0071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710333" w:rsidRPr="00C63033" w:rsidRDefault="006B2197" w:rsidP="0071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1 002,00</w:t>
            </w:r>
            <w:r w:rsidR="00710333" w:rsidRPr="00C63033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EB5857" w:rsidRPr="0060525D" w:rsidTr="00145456">
        <w:tc>
          <w:tcPr>
            <w:tcW w:w="2943" w:type="dxa"/>
          </w:tcPr>
          <w:p w:rsidR="00EB5857" w:rsidRPr="00C0353A" w:rsidRDefault="00EB5857" w:rsidP="00EB585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zafa metalowa na dokumenty</w:t>
            </w:r>
          </w:p>
        </w:tc>
        <w:tc>
          <w:tcPr>
            <w:tcW w:w="4395" w:type="dxa"/>
          </w:tcPr>
          <w:p w:rsidR="00EB5857" w:rsidRPr="00C0353A" w:rsidRDefault="00EB5857" w:rsidP="00EB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wymiarach nie mniejszych niż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190</w:t>
            </w:r>
            <w:r w:rsidR="0089696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 w:rsidR="00896967">
              <w:rPr>
                <w:rFonts w:ascii="Times New Roman" w:hAnsi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40</w:t>
            </w:r>
            <w:r w:rsidR="0089696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967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551" w:type="dxa"/>
          </w:tcPr>
          <w:p w:rsidR="00EB5857" w:rsidRPr="00C0353A" w:rsidRDefault="00896967" w:rsidP="00EB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1 065,00</w:t>
            </w:r>
            <w:r w:rsidR="00EB5857"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C44795" w:rsidRPr="0060525D" w:rsidTr="00145456">
        <w:tc>
          <w:tcPr>
            <w:tcW w:w="2943" w:type="dxa"/>
          </w:tcPr>
          <w:p w:rsidR="00C44795" w:rsidRPr="00C0353A" w:rsidRDefault="00C44795" w:rsidP="00C4479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>iurko</w:t>
            </w:r>
          </w:p>
        </w:tc>
        <w:tc>
          <w:tcPr>
            <w:tcW w:w="4395" w:type="dxa"/>
            <w:vAlign w:val="center"/>
          </w:tcPr>
          <w:p w:rsidR="00C44795" w:rsidRPr="00C0353A" w:rsidRDefault="00C44795" w:rsidP="00C44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44795" w:rsidRPr="00C0353A" w:rsidRDefault="00C44795" w:rsidP="00C44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276,00</w:t>
            </w:r>
            <w:r w:rsidRPr="00C0353A">
              <w:rPr>
                <w:rFonts w:ascii="Times New Roman" w:hAnsi="Times New Roman"/>
                <w:sz w:val="24"/>
                <w:szCs w:val="24"/>
              </w:rPr>
              <w:t xml:space="preserve"> zł/szt.</w:t>
            </w:r>
          </w:p>
        </w:tc>
      </w:tr>
      <w:tr w:rsidR="00EB5857" w:rsidRPr="0060525D" w:rsidTr="00145456">
        <w:tc>
          <w:tcPr>
            <w:tcW w:w="2943" w:type="dxa"/>
          </w:tcPr>
          <w:p w:rsidR="00EB5857" w:rsidRPr="00C0353A" w:rsidRDefault="00515D8E" w:rsidP="00B106BD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Wykładzina podłogowa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trudno</w:t>
            </w:r>
            <w:r w:rsidR="00F25DE8">
              <w:rPr>
                <w:rFonts w:ascii="Times New Roman" w:hAnsi="Times New Roman"/>
                <w:sz w:val="24"/>
                <w:szCs w:val="24"/>
              </w:rPr>
              <w:t>zapalna</w:t>
            </w:r>
            <w:proofErr w:type="spellEnd"/>
            <w:r w:rsidR="00F25D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vAlign w:val="center"/>
          </w:tcPr>
          <w:p w:rsidR="00EB5857" w:rsidRPr="00C0353A" w:rsidRDefault="00260A02" w:rsidP="00B10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za 1 </w:t>
            </w:r>
            <w:r w:rsidRPr="0064342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43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wykładziny.</w:t>
            </w:r>
          </w:p>
        </w:tc>
        <w:tc>
          <w:tcPr>
            <w:tcW w:w="2551" w:type="dxa"/>
          </w:tcPr>
          <w:p w:rsidR="00EB5857" w:rsidRDefault="00F25DE8" w:rsidP="00B10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69,00 zł/m</w:t>
            </w:r>
            <w:r w:rsidR="0064342C" w:rsidRPr="0064342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B5857" w:rsidRPr="0060525D" w:rsidTr="00145456">
        <w:tc>
          <w:tcPr>
            <w:tcW w:w="2943" w:type="dxa"/>
          </w:tcPr>
          <w:p w:rsidR="00EB5857" w:rsidRPr="00C0353A" w:rsidRDefault="00BD782C" w:rsidP="00B106BD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mebli do sali</w:t>
            </w:r>
          </w:p>
        </w:tc>
        <w:tc>
          <w:tcPr>
            <w:tcW w:w="4395" w:type="dxa"/>
            <w:vAlign w:val="center"/>
          </w:tcPr>
          <w:p w:rsidR="00EB5857" w:rsidRPr="00C0353A" w:rsidRDefault="00F357B0" w:rsidP="00B10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B5857" w:rsidRDefault="00F357B0" w:rsidP="00B10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2 321,00 zł/komplet</w:t>
            </w:r>
          </w:p>
        </w:tc>
      </w:tr>
      <w:tr w:rsidR="00F02A29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F02A29" w:rsidRPr="00F02A29" w:rsidRDefault="00633981" w:rsidP="00F0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02A29" w:rsidRPr="00F02A29">
              <w:rPr>
                <w:rFonts w:ascii="Times New Roman" w:hAnsi="Times New Roman" w:cs="Times New Roman"/>
                <w:sz w:val="24"/>
                <w:szCs w:val="24"/>
              </w:rPr>
              <w:t>egał szatniowy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02A29" w:rsidRPr="00F02A29" w:rsidRDefault="00F02A29" w:rsidP="00F0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29">
              <w:rPr>
                <w:rFonts w:ascii="Times New Roman" w:hAnsi="Times New Roman" w:cs="Times New Roman"/>
                <w:sz w:val="24"/>
                <w:szCs w:val="24"/>
              </w:rPr>
              <w:t xml:space="preserve">np. regał 6 osobowy, wykonany z drewna, wyposażony w przegródki z haczykami na ubrania oraz dwie półeczki, w tym jedną na obuwie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02A29" w:rsidRPr="00F02A29" w:rsidRDefault="00F02A29" w:rsidP="00F0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549,00 </w:t>
            </w:r>
            <w:r w:rsidRPr="00F02A29">
              <w:rPr>
                <w:rFonts w:ascii="Times New Roman" w:hAnsi="Times New Roman" w:cs="Times New Roman"/>
                <w:sz w:val="24"/>
                <w:szCs w:val="24"/>
              </w:rPr>
              <w:t>zł/szt.</w:t>
            </w:r>
          </w:p>
        </w:tc>
      </w:tr>
      <w:tr w:rsidR="008D0BEC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8D0BEC" w:rsidRPr="008D0BEC" w:rsidRDefault="00633981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0BEC" w:rsidRPr="008D0BEC">
              <w:rPr>
                <w:rFonts w:ascii="Times New Roman" w:hAnsi="Times New Roman" w:cs="Times New Roman"/>
                <w:sz w:val="24"/>
                <w:szCs w:val="24"/>
              </w:rPr>
              <w:t>zafa na pościel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8D0BEC" w:rsidRPr="008D0BEC" w:rsidRDefault="008D0BEC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EC">
              <w:rPr>
                <w:rFonts w:ascii="Times New Roman" w:hAnsi="Times New Roman" w:cs="Times New Roman"/>
                <w:sz w:val="24"/>
                <w:szCs w:val="24"/>
              </w:rPr>
              <w:t>np. szafa z przegródkami na 30 kompletów pościeli, przesuwane drzwi, wykonana z drewna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8D0BEC" w:rsidRPr="008D0BEC" w:rsidRDefault="008D0BEC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EC">
              <w:rPr>
                <w:rFonts w:ascii="Times New Roman" w:hAnsi="Times New Roman" w:cs="Times New Roman"/>
                <w:sz w:val="24"/>
                <w:szCs w:val="24"/>
              </w:rPr>
              <w:t>1 374,00 zł/szt.</w:t>
            </w:r>
          </w:p>
        </w:tc>
      </w:tr>
      <w:tr w:rsidR="00BB64F3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BB64F3" w:rsidRPr="008D0BEC" w:rsidRDefault="00633981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Leżak/łóżeczko przedszkolne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BB64F3" w:rsidRPr="008D0BEC" w:rsidRDefault="00633981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wymiarach nie mniejszych niż 120 cm x 60 cm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B64F3" w:rsidRPr="008D0BEC" w:rsidRDefault="00633981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 zł/szt.</w:t>
            </w:r>
          </w:p>
        </w:tc>
      </w:tr>
      <w:tr w:rsidR="00BB64F3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BB64F3" w:rsidRPr="008D0BEC" w:rsidRDefault="00947CFA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Krzesełko przedszkolne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BB64F3" w:rsidRPr="008D0BEC" w:rsidRDefault="00035A9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B64F3" w:rsidRPr="008D0BEC" w:rsidRDefault="00947CFA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 zł/szt.</w:t>
            </w:r>
          </w:p>
        </w:tc>
      </w:tr>
      <w:tr w:rsidR="00BB64F3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BB64F3" w:rsidRPr="008D0BEC" w:rsidRDefault="007871A3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Odkurzacz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BB64F3" w:rsidRPr="008D0BEC" w:rsidRDefault="007871A3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energetyczna A lub B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B64F3" w:rsidRPr="008D0BEC" w:rsidRDefault="009E427D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338,00 zł/szt.</w:t>
            </w:r>
          </w:p>
        </w:tc>
      </w:tr>
      <w:tr w:rsidR="00FF159A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FF159A" w:rsidRDefault="000A569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Pralka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F159A" w:rsidRDefault="009971D0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pojemności nie mniejszej niż 7 kg, klasa energetyczna A+++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159A" w:rsidRDefault="000A569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E3272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zł/szt.</w:t>
            </w:r>
          </w:p>
        </w:tc>
      </w:tr>
      <w:tr w:rsidR="00FF159A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FF159A" w:rsidRDefault="0084289C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  <w:r w:rsidR="007C6856">
              <w:rPr>
                <w:rFonts w:ascii="Times New Roman" w:hAnsi="Times New Roman" w:cs="Times New Roman"/>
                <w:sz w:val="24"/>
                <w:szCs w:val="24"/>
              </w:rPr>
              <w:t xml:space="preserve"> przeciwpożarowa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F159A" w:rsidRDefault="007C685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Wsad/ilość środka gaśniczego nie mniejszy niż 4 kg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159A" w:rsidRDefault="007C685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201,00 zł/szt.</w:t>
            </w:r>
          </w:p>
        </w:tc>
      </w:tr>
      <w:tr w:rsidR="00FF159A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FF159A" w:rsidRDefault="00FF159A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F159A" w:rsidRDefault="00FF159A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159A" w:rsidRDefault="00FF159A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BCA" w:rsidRPr="0060525D" w:rsidTr="00145456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0BCA" w:rsidRPr="002D0BCA" w:rsidRDefault="002D0BCA" w:rsidP="002D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  <w:r w:rsidRPr="002D0BCA">
              <w:rPr>
                <w:rFonts w:ascii="Times New Roman" w:hAnsi="Times New Roman" w:cs="Times New Roman"/>
                <w:sz w:val="24"/>
                <w:szCs w:val="24"/>
              </w:rPr>
              <w:t>pteczka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wyposa</w:t>
            </w:r>
            <w:r w:rsidR="002230C1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eniem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0BCA" w:rsidRPr="002D0BCA" w:rsidRDefault="002D0BCA" w:rsidP="002D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A">
              <w:rPr>
                <w:rFonts w:ascii="Times New Roman" w:hAnsi="Times New Roman" w:cs="Times New Roman"/>
                <w:sz w:val="24"/>
                <w:szCs w:val="24"/>
              </w:rPr>
              <w:t>np. wyposażona w podstawowe środki opatrunkowe oraz podstawowe środki niezbędne do udzielania pierwszej pomocy i instrukcję o zasadach udzielania tej pomocy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0BCA" w:rsidRPr="002D0BCA" w:rsidRDefault="002D0BCA" w:rsidP="002D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A">
              <w:rPr>
                <w:rFonts w:ascii="Times New Roman" w:hAnsi="Times New Roman" w:cs="Times New Roman"/>
                <w:sz w:val="24"/>
                <w:szCs w:val="24"/>
              </w:rPr>
              <w:t>113,00 zł/szt.</w:t>
            </w:r>
          </w:p>
        </w:tc>
      </w:tr>
      <w:tr w:rsidR="00FF159A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FF159A" w:rsidRDefault="00FC6FE3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FF159A" w:rsidRDefault="003E63A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wymiarach nie mniejszych niż 100 cm x 200 cm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159A" w:rsidRDefault="003E63A6" w:rsidP="008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 zł/szt.</w:t>
            </w:r>
          </w:p>
        </w:tc>
      </w:tr>
      <w:tr w:rsidR="00106F08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6F08" w:rsidRDefault="00106F08" w:rsidP="00106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Stolik przedszkolny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6F08" w:rsidRDefault="00106F08" w:rsidP="00106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wymiarach nie mniejszych niż 120 cm x 74 cm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6F08" w:rsidRDefault="00106F08" w:rsidP="00106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243,00 zł/szt.</w:t>
            </w:r>
          </w:p>
        </w:tc>
      </w:tr>
      <w:tr w:rsidR="00695203" w:rsidRPr="0060525D" w:rsidTr="00465C6D"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95203" w:rsidRPr="006B6753" w:rsidRDefault="00695203" w:rsidP="00613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6753">
              <w:rPr>
                <w:rFonts w:ascii="Times New Roman" w:hAnsi="Times New Roman" w:cs="Times New Roman"/>
                <w:b/>
                <w:sz w:val="24"/>
                <w:szCs w:val="24"/>
              </w:rPr>
              <w:t>DOSTOSOWANIE TOALET DLA DZIECI</w:t>
            </w:r>
          </w:p>
        </w:tc>
      </w:tr>
      <w:tr w:rsidR="00C712CC" w:rsidRPr="0060525D" w:rsidTr="00145456">
        <w:tc>
          <w:tcPr>
            <w:tcW w:w="2943" w:type="dxa"/>
            <w:shd w:val="clear" w:color="auto" w:fill="auto"/>
            <w:vAlign w:val="center"/>
          </w:tcPr>
          <w:p w:rsidR="00C712CC" w:rsidRPr="00AE7397" w:rsidRDefault="00B87D41" w:rsidP="00C71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712CC"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mywalka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712CC" w:rsidRPr="00AE7397" w:rsidRDefault="00C712CC" w:rsidP="00C71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np. podwieszana, pojedyncza, biała, ceramiczna, szer. 60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12CC" w:rsidRPr="00AE7397" w:rsidRDefault="00C712CC" w:rsidP="00C71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7397" w:rsidRPr="00AE7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,00 zł/szt.</w:t>
            </w:r>
          </w:p>
        </w:tc>
      </w:tr>
      <w:tr w:rsidR="00B87D41" w:rsidRPr="0060525D" w:rsidTr="00145456">
        <w:tc>
          <w:tcPr>
            <w:tcW w:w="2943" w:type="dxa"/>
            <w:shd w:val="clear" w:color="auto" w:fill="auto"/>
            <w:vAlign w:val="center"/>
          </w:tcPr>
          <w:p w:rsidR="00B87D41" w:rsidRPr="00B87D41" w:rsidRDefault="00B87D41" w:rsidP="00B87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87D41">
              <w:rPr>
                <w:rFonts w:ascii="Times New Roman" w:hAnsi="Times New Roman" w:cs="Times New Roman"/>
                <w:sz w:val="24"/>
                <w:szCs w:val="24"/>
              </w:rPr>
              <w:t>ateria umywalkowa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87D41" w:rsidRPr="00B87D41" w:rsidRDefault="00B87D41" w:rsidP="00B87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7D41" w:rsidRPr="00B87D41" w:rsidRDefault="00B87D41" w:rsidP="00B87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D41">
              <w:rPr>
                <w:rFonts w:ascii="Times New Roman" w:hAnsi="Times New Roman" w:cs="Times New Roman"/>
                <w:sz w:val="24"/>
                <w:szCs w:val="24"/>
              </w:rPr>
              <w:t>144,00 zł/szt.</w:t>
            </w:r>
          </w:p>
        </w:tc>
      </w:tr>
      <w:tr w:rsidR="00C16F95" w:rsidRPr="0060525D" w:rsidTr="00145456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95" w:rsidRPr="0060525D" w:rsidRDefault="00C16F95" w:rsidP="00C16F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Brodzik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95" w:rsidRPr="0060525D" w:rsidRDefault="00C16F95" w:rsidP="00C16F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D4D">
              <w:rPr>
                <w:rFonts w:ascii="Times New Roman" w:hAnsi="Times New Roman" w:cs="Times New Roman"/>
                <w:sz w:val="24"/>
                <w:szCs w:val="24"/>
              </w:rPr>
              <w:t xml:space="preserve">np. o </w:t>
            </w:r>
            <w:r w:rsidR="00676D4D" w:rsidRPr="00676D4D">
              <w:rPr>
                <w:rFonts w:ascii="Times New Roman" w:hAnsi="Times New Roman" w:cs="Times New Roman"/>
                <w:sz w:val="24"/>
                <w:szCs w:val="24"/>
              </w:rPr>
              <w:t>wymiarach nie mniejszych niż</w:t>
            </w:r>
            <w:r w:rsidRPr="0067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D4D" w:rsidRPr="00676D4D">
              <w:rPr>
                <w:rFonts w:ascii="Times New Roman" w:hAnsi="Times New Roman" w:cs="Times New Roman"/>
                <w:sz w:val="24"/>
                <w:szCs w:val="24"/>
              </w:rPr>
              <w:t>70x70</w:t>
            </w:r>
            <w:r w:rsidRPr="00676D4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95" w:rsidRPr="0060525D" w:rsidRDefault="00212EB5" w:rsidP="00C16F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E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C16F95" w:rsidRPr="00212EB5">
              <w:rPr>
                <w:rFonts w:ascii="Times New Roman" w:hAnsi="Times New Roman" w:cs="Times New Roman"/>
                <w:sz w:val="24"/>
                <w:szCs w:val="24"/>
              </w:rPr>
              <w:t>,00 zł/szt.</w:t>
            </w:r>
          </w:p>
        </w:tc>
      </w:tr>
      <w:tr w:rsidR="00C40ACB" w:rsidRPr="0060525D" w:rsidTr="00145456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CB" w:rsidRPr="00C40ACB" w:rsidRDefault="00B460D9" w:rsidP="00C4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40ACB" w:rsidRPr="00C40ACB">
              <w:rPr>
                <w:rFonts w:ascii="Times New Roman" w:hAnsi="Times New Roman" w:cs="Times New Roman"/>
                <w:sz w:val="24"/>
                <w:szCs w:val="24"/>
              </w:rPr>
              <w:t>estaw ustępowy dla dzieci ze stelażem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CB" w:rsidRPr="00C40ACB" w:rsidRDefault="00B05464" w:rsidP="00C4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CB" w:rsidRPr="00C40ACB" w:rsidRDefault="00C40ACB" w:rsidP="00C4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B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40ACB">
              <w:rPr>
                <w:rFonts w:ascii="Times New Roman" w:hAnsi="Times New Roman" w:cs="Times New Roman"/>
                <w:sz w:val="24"/>
                <w:szCs w:val="24"/>
              </w:rPr>
              <w:t>,00 zł/sz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6038B8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6038B8" w:rsidRPr="00B460D9" w:rsidRDefault="00B460D9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D9">
              <w:rPr>
                <w:rFonts w:ascii="Times New Roman" w:hAnsi="Times New Roman" w:cs="Times New Roman"/>
                <w:sz w:val="24"/>
                <w:szCs w:val="24"/>
              </w:rPr>
              <w:t>Pojemnik na ręczniki papierowe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6038B8" w:rsidRPr="00B460D9" w:rsidRDefault="00B460D9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038B8" w:rsidRPr="00B460D9" w:rsidRDefault="00B460D9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D9">
              <w:rPr>
                <w:rFonts w:ascii="Times New Roman" w:hAnsi="Times New Roman" w:cs="Times New Roman"/>
                <w:sz w:val="24"/>
                <w:szCs w:val="24"/>
              </w:rPr>
              <w:t>53,00 zł/szt.</w:t>
            </w:r>
          </w:p>
        </w:tc>
      </w:tr>
      <w:tr w:rsidR="00B9035A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6038B8" w:rsidRPr="0060525D" w:rsidRDefault="00B460D9" w:rsidP="0060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0D9">
              <w:rPr>
                <w:rFonts w:ascii="Times New Roman" w:hAnsi="Times New Roman" w:cs="Times New Roman"/>
                <w:sz w:val="24"/>
                <w:szCs w:val="24"/>
              </w:rPr>
              <w:t>Pojemnik na papier toaletowy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B9035A" w:rsidRPr="0060525D" w:rsidRDefault="00B460D9" w:rsidP="00613B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9035A" w:rsidRPr="0060525D" w:rsidRDefault="00B460D9" w:rsidP="00613B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0D9">
              <w:rPr>
                <w:rFonts w:ascii="Times New Roman" w:hAnsi="Times New Roman" w:cs="Times New Roman"/>
                <w:sz w:val="24"/>
                <w:szCs w:val="24"/>
              </w:rPr>
              <w:t>36,00 zł/szt.</w:t>
            </w:r>
          </w:p>
        </w:tc>
      </w:tr>
      <w:tr w:rsidR="006038B8" w:rsidRPr="0060525D" w:rsidTr="00145456">
        <w:tc>
          <w:tcPr>
            <w:tcW w:w="2943" w:type="dxa"/>
            <w:shd w:val="clear" w:color="auto" w:fill="FFFFFF" w:themeFill="background1"/>
            <w:vAlign w:val="center"/>
          </w:tcPr>
          <w:p w:rsidR="006038B8" w:rsidRPr="0060525D" w:rsidRDefault="00371331" w:rsidP="0060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55C7">
              <w:rPr>
                <w:rFonts w:ascii="Times New Roman" w:hAnsi="Times New Roman" w:cs="Times New Roman"/>
                <w:sz w:val="24"/>
                <w:szCs w:val="24"/>
              </w:rPr>
              <w:t>Dozownik mydła w płynie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6038B8" w:rsidRPr="0060525D" w:rsidRDefault="00701663" w:rsidP="00613B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663">
              <w:rPr>
                <w:rFonts w:ascii="Times New Roman" w:hAnsi="Times New Roman" w:cs="Times New Roman"/>
                <w:sz w:val="24"/>
                <w:szCs w:val="24"/>
              </w:rPr>
              <w:t>Pojemność 500 ml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038B8" w:rsidRPr="0060525D" w:rsidRDefault="00701663" w:rsidP="00613B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663">
              <w:rPr>
                <w:rFonts w:ascii="Times New Roman" w:hAnsi="Times New Roman" w:cs="Times New Roman"/>
                <w:sz w:val="24"/>
                <w:szCs w:val="24"/>
              </w:rPr>
              <w:t>54,00 zł/szt.</w:t>
            </w:r>
          </w:p>
        </w:tc>
      </w:tr>
      <w:tr w:rsidR="006038B8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8B8" w:rsidRPr="00D84230" w:rsidRDefault="00D84230" w:rsidP="0060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30">
              <w:rPr>
                <w:rFonts w:ascii="Times New Roman" w:hAnsi="Times New Roman" w:cs="Times New Roman"/>
                <w:sz w:val="24"/>
                <w:szCs w:val="24"/>
              </w:rPr>
              <w:t>Półka na kubeczki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8B8" w:rsidRPr="00D84230" w:rsidRDefault="00D84230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30">
              <w:rPr>
                <w:rFonts w:ascii="Times New Roman" w:hAnsi="Times New Roman" w:cs="Times New Roman"/>
                <w:sz w:val="24"/>
                <w:szCs w:val="24"/>
              </w:rPr>
              <w:t>np. wykonana z drewna, z przegródkami na 15-20 kubeczków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8B8" w:rsidRPr="00D84230" w:rsidRDefault="00D84230" w:rsidP="006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30">
              <w:rPr>
                <w:rFonts w:ascii="Times New Roman" w:hAnsi="Times New Roman" w:cs="Times New Roman"/>
                <w:sz w:val="24"/>
                <w:szCs w:val="24"/>
              </w:rPr>
              <w:t>185,00 zł/szt.</w:t>
            </w:r>
          </w:p>
        </w:tc>
      </w:tr>
      <w:tr w:rsidR="006B6753" w:rsidRPr="0060525D" w:rsidTr="00465C6D">
        <w:tc>
          <w:tcPr>
            <w:tcW w:w="9889" w:type="dxa"/>
            <w:gridSpan w:val="3"/>
            <w:shd w:val="clear" w:color="auto" w:fill="B2A1C7" w:themeFill="accent4" w:themeFillTint="99"/>
            <w:vAlign w:val="center"/>
          </w:tcPr>
          <w:p w:rsidR="006B6753" w:rsidRPr="006B6753" w:rsidRDefault="006B6753" w:rsidP="00613B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6753">
              <w:rPr>
                <w:rFonts w:ascii="Times New Roman" w:hAnsi="Times New Roman" w:cs="Times New Roman"/>
                <w:b/>
                <w:sz w:val="24"/>
                <w:szCs w:val="24"/>
              </w:rPr>
              <w:t>KUCHNIA</w:t>
            </w:r>
          </w:p>
        </w:tc>
      </w:tr>
      <w:tr w:rsidR="00A135D6" w:rsidRPr="0060525D" w:rsidTr="00145456">
        <w:tc>
          <w:tcPr>
            <w:tcW w:w="2943" w:type="dxa"/>
            <w:shd w:val="clear" w:color="auto" w:fill="auto"/>
            <w:vAlign w:val="center"/>
          </w:tcPr>
          <w:p w:rsidR="00A135D6" w:rsidRPr="00D96A46" w:rsidRDefault="00FE30CC" w:rsidP="00A13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A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135D6" w:rsidRPr="00D96A46">
              <w:rPr>
                <w:rFonts w:ascii="Times New Roman" w:hAnsi="Times New Roman" w:cs="Times New Roman"/>
                <w:sz w:val="24"/>
                <w:szCs w:val="24"/>
              </w:rPr>
              <w:t>odówka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135D6" w:rsidRPr="00D96A46" w:rsidRDefault="00A135D6" w:rsidP="00A13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A46">
              <w:rPr>
                <w:rFonts w:ascii="Times New Roman" w:hAnsi="Times New Roman" w:cs="Times New Roman"/>
                <w:sz w:val="24"/>
                <w:szCs w:val="24"/>
              </w:rPr>
              <w:t>np. wys. 185</w:t>
            </w:r>
            <w:r w:rsidR="00082393" w:rsidRPr="00D96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A46">
              <w:rPr>
                <w:rFonts w:ascii="Times New Roman" w:hAnsi="Times New Roman" w:cs="Times New Roman"/>
                <w:sz w:val="24"/>
                <w:szCs w:val="24"/>
              </w:rPr>
              <w:t>cm, biała, klasa energetyczna A+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5D6" w:rsidRPr="0060525D" w:rsidRDefault="00A135D6" w:rsidP="00A135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30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E30CC" w:rsidRPr="00FE30CC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Pr="00FE30CC">
              <w:rPr>
                <w:rFonts w:ascii="Times New Roman" w:hAnsi="Times New Roman" w:cs="Times New Roman"/>
                <w:sz w:val="24"/>
                <w:szCs w:val="24"/>
              </w:rPr>
              <w:t>,00 zł/szt.</w:t>
            </w:r>
          </w:p>
        </w:tc>
      </w:tr>
      <w:tr w:rsidR="0007344B" w:rsidRPr="0060525D" w:rsidTr="00145456">
        <w:tc>
          <w:tcPr>
            <w:tcW w:w="2943" w:type="dxa"/>
            <w:shd w:val="clear" w:color="auto" w:fill="FFFFFF" w:themeFill="background1"/>
          </w:tcPr>
          <w:p w:rsidR="0007344B" w:rsidRPr="000A40E5" w:rsidRDefault="000A40E5" w:rsidP="000A40E5">
            <w:pPr>
              <w:jc w:val="center"/>
              <w:rPr>
                <w:rFonts w:ascii="Times New Roman" w:hAnsi="Times New Roman" w:cs="Times New Roman"/>
              </w:rPr>
            </w:pPr>
            <w:r w:rsidRPr="000A40E5">
              <w:rPr>
                <w:rFonts w:ascii="Times New Roman" w:hAnsi="Times New Roman" w:cs="Times New Roman"/>
              </w:rPr>
              <w:t>Szafa przelotowa</w:t>
            </w:r>
          </w:p>
        </w:tc>
        <w:tc>
          <w:tcPr>
            <w:tcW w:w="4395" w:type="dxa"/>
            <w:shd w:val="clear" w:color="auto" w:fill="FFFFFF" w:themeFill="background1"/>
          </w:tcPr>
          <w:p w:rsidR="0007344B" w:rsidRPr="000A40E5" w:rsidRDefault="001945E3" w:rsidP="0019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Szafa przelotowa ze stali nierdzewnej o wymiarach nie mniejszych niż 800 cm x 500 cm x 1 800 cm.</w:t>
            </w:r>
          </w:p>
        </w:tc>
        <w:tc>
          <w:tcPr>
            <w:tcW w:w="2551" w:type="dxa"/>
            <w:shd w:val="clear" w:color="auto" w:fill="FFFFFF" w:themeFill="background1"/>
          </w:tcPr>
          <w:p w:rsidR="0007344B" w:rsidRPr="000A40E5" w:rsidRDefault="001945E3" w:rsidP="0019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2 826,00 zł/ szt.</w:t>
            </w:r>
          </w:p>
        </w:tc>
      </w:tr>
      <w:tr w:rsidR="006D088E" w:rsidRPr="0060525D" w:rsidTr="00145456">
        <w:tc>
          <w:tcPr>
            <w:tcW w:w="2943" w:type="dxa"/>
            <w:shd w:val="clear" w:color="auto" w:fill="FFFFFF" w:themeFill="background1"/>
          </w:tcPr>
          <w:p w:rsidR="006D088E" w:rsidRPr="000A40E5" w:rsidRDefault="006D088E" w:rsidP="000A4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4395" w:type="dxa"/>
            <w:shd w:val="clear" w:color="auto" w:fill="FFFFFF" w:themeFill="background1"/>
          </w:tcPr>
          <w:p w:rsidR="006D088E" w:rsidRDefault="000D11BB" w:rsidP="0019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Czajnik elek</w:t>
            </w:r>
            <w:r w:rsidR="00BD49C9">
              <w:rPr>
                <w:rFonts w:ascii="Times New Roman" w:hAnsi="Times New Roman" w:cs="Times New Roman"/>
              </w:rPr>
              <w:t>tryczny o pojemności nie mniejszej niż 1,5 litrów</w:t>
            </w:r>
          </w:p>
        </w:tc>
        <w:tc>
          <w:tcPr>
            <w:tcW w:w="2551" w:type="dxa"/>
            <w:shd w:val="clear" w:color="auto" w:fill="FFFFFF" w:themeFill="background1"/>
          </w:tcPr>
          <w:p w:rsidR="006D088E" w:rsidRDefault="00BD49C9" w:rsidP="0019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 zł/szt.</w:t>
            </w:r>
          </w:p>
        </w:tc>
      </w:tr>
      <w:tr w:rsidR="000A40E5" w:rsidRPr="0060525D" w:rsidTr="00145456">
        <w:tc>
          <w:tcPr>
            <w:tcW w:w="2943" w:type="dxa"/>
            <w:shd w:val="clear" w:color="auto" w:fill="FFFFFF" w:themeFill="background1"/>
          </w:tcPr>
          <w:p w:rsidR="000A40E5" w:rsidRPr="002A4E85" w:rsidRDefault="002A4E85" w:rsidP="002A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85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4395" w:type="dxa"/>
            <w:shd w:val="clear" w:color="auto" w:fill="FFFFFF" w:themeFill="background1"/>
          </w:tcPr>
          <w:p w:rsidR="000A40E5" w:rsidRPr="002A4E85" w:rsidRDefault="002A4E85" w:rsidP="002A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Kuchenka mikrofalowa o pojemności nie mniejszej niż 20 litrów</w:t>
            </w:r>
          </w:p>
        </w:tc>
        <w:tc>
          <w:tcPr>
            <w:tcW w:w="2551" w:type="dxa"/>
            <w:shd w:val="clear" w:color="auto" w:fill="FFFFFF" w:themeFill="background1"/>
          </w:tcPr>
          <w:p w:rsidR="000A40E5" w:rsidRPr="002A4E85" w:rsidRDefault="002A4E85" w:rsidP="002A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506,00 zł/szt.</w:t>
            </w:r>
          </w:p>
        </w:tc>
      </w:tr>
      <w:tr w:rsidR="006B1F67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F67" w:rsidRPr="002A4E85" w:rsidRDefault="006B1F67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Zmywarka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F67" w:rsidRPr="006B1F67" w:rsidRDefault="006B1F67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F67">
              <w:rPr>
                <w:rFonts w:ascii="Times New Roman" w:hAnsi="Times New Roman" w:cs="Times New Roman"/>
                <w:sz w:val="24"/>
                <w:szCs w:val="24"/>
              </w:rPr>
              <w:t>np. profesjonalna zmywarka z funkcją wyparzania, kosze 50x50 cm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F67" w:rsidRDefault="006B1F67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4 340,00 zł/szt.</w:t>
            </w:r>
          </w:p>
        </w:tc>
      </w:tr>
      <w:tr w:rsidR="00EF2173" w:rsidRPr="0060525D" w:rsidTr="00465C6D">
        <w:tc>
          <w:tcPr>
            <w:tcW w:w="9889" w:type="dxa"/>
            <w:gridSpan w:val="3"/>
            <w:shd w:val="clear" w:color="auto" w:fill="B2A1C7" w:themeFill="accent4" w:themeFillTint="99"/>
          </w:tcPr>
          <w:p w:rsidR="00EF2173" w:rsidRPr="00EF2173" w:rsidRDefault="005F5C2C" w:rsidP="006B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PLACU ZABAW</w:t>
            </w:r>
          </w:p>
        </w:tc>
      </w:tr>
      <w:tr w:rsidR="00EF2173" w:rsidRPr="0060525D" w:rsidTr="00145456">
        <w:tc>
          <w:tcPr>
            <w:tcW w:w="2943" w:type="dxa"/>
            <w:shd w:val="clear" w:color="auto" w:fill="FFFFFF" w:themeFill="background1"/>
          </w:tcPr>
          <w:p w:rsidR="00EF2173" w:rsidRDefault="0070464F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Karuzela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EF2173" w:rsidRPr="006B1F67" w:rsidRDefault="0070464F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</w:tcPr>
          <w:p w:rsidR="00EF2173" w:rsidRDefault="0070464F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3 962,00 zł/szt.</w:t>
            </w:r>
          </w:p>
        </w:tc>
      </w:tr>
      <w:tr w:rsidR="00EF2173" w:rsidRPr="0060525D" w:rsidTr="00145456">
        <w:tc>
          <w:tcPr>
            <w:tcW w:w="2943" w:type="dxa"/>
            <w:shd w:val="clear" w:color="auto" w:fill="FFFFFF" w:themeFill="background1"/>
          </w:tcPr>
          <w:p w:rsidR="00EF2173" w:rsidRDefault="002A39FB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Huśtawka podwójna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EF2173" w:rsidRPr="006B1F67" w:rsidRDefault="002A39FB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</w:tcPr>
          <w:p w:rsidR="00EF2173" w:rsidRDefault="002A39FB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1 829,00 zł/szt.</w:t>
            </w:r>
          </w:p>
        </w:tc>
      </w:tr>
      <w:tr w:rsidR="00EF2173" w:rsidRPr="0060525D" w:rsidTr="00145456">
        <w:tc>
          <w:tcPr>
            <w:tcW w:w="2943" w:type="dxa"/>
            <w:shd w:val="clear" w:color="auto" w:fill="FFFFFF" w:themeFill="background1"/>
          </w:tcPr>
          <w:p w:rsidR="00EF2173" w:rsidRDefault="00D462E2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Bujak sprężynowy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EF2173" w:rsidRPr="006B1F67" w:rsidRDefault="00D462E2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</w:tcPr>
          <w:p w:rsidR="00EF2173" w:rsidRDefault="00D462E2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1 564,00 zł/szt.</w:t>
            </w:r>
          </w:p>
        </w:tc>
      </w:tr>
      <w:tr w:rsidR="0057433E" w:rsidRPr="0060525D" w:rsidTr="00145456">
        <w:tc>
          <w:tcPr>
            <w:tcW w:w="2943" w:type="dxa"/>
            <w:shd w:val="clear" w:color="auto" w:fill="FFFFFF" w:themeFill="background1"/>
          </w:tcPr>
          <w:p w:rsidR="0057433E" w:rsidRDefault="0057433E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Domek ze zjeżdżalnią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57433E" w:rsidRDefault="0057433E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</w:tcPr>
          <w:p w:rsidR="0057433E" w:rsidRDefault="0057433E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1 113,00 zł/szt.</w:t>
            </w:r>
          </w:p>
        </w:tc>
      </w:tr>
      <w:tr w:rsidR="0057433E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7433E" w:rsidRDefault="0064342C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Bezpieczna nawierzchnia „gumowa”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33E" w:rsidRPr="00260A02" w:rsidRDefault="0064342C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za 1 </w:t>
            </w:r>
            <w:r w:rsidRPr="0064342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43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60A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60A02">
              <w:rPr>
                <w:rFonts w:ascii="Times New Roman" w:hAnsi="Times New Roman" w:cs="Times New Roman"/>
                <w:sz w:val="24"/>
                <w:szCs w:val="24"/>
              </w:rPr>
              <w:t>nawierzchni.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7433E" w:rsidRDefault="007F4A9A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 zł/m</w:t>
            </w:r>
            <w:r w:rsidRPr="007F4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85D7C" w:rsidRPr="0060525D" w:rsidTr="00465C6D">
        <w:tc>
          <w:tcPr>
            <w:tcW w:w="9889" w:type="dxa"/>
            <w:gridSpan w:val="3"/>
            <w:shd w:val="clear" w:color="auto" w:fill="B2A1C7" w:themeFill="accent4" w:themeFillTint="99"/>
          </w:tcPr>
          <w:p w:rsidR="00D85D7C" w:rsidRPr="00D85D7C" w:rsidRDefault="00D85D7C" w:rsidP="006B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7C">
              <w:rPr>
                <w:rFonts w:ascii="Times New Roman" w:hAnsi="Times New Roman" w:cs="Times New Roman"/>
                <w:b/>
                <w:sz w:val="24"/>
                <w:szCs w:val="24"/>
              </w:rPr>
              <w:t>MODERNIZACJA TECHNICZNA</w:t>
            </w:r>
          </w:p>
        </w:tc>
      </w:tr>
      <w:tr w:rsidR="00EF2173" w:rsidRPr="0060525D" w:rsidTr="00145456">
        <w:tc>
          <w:tcPr>
            <w:tcW w:w="2943" w:type="dxa"/>
            <w:shd w:val="clear" w:color="auto" w:fill="FFFFFF" w:themeFill="background1"/>
          </w:tcPr>
          <w:p w:rsidR="00EF2173" w:rsidRDefault="00E501E1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remontowe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EF2173" w:rsidRPr="006B1F67" w:rsidRDefault="0027631D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remontowe (m.in. malowanie, tynkowanie, szpachlowanie, położenie terakoty, glazury). Cena za 1 m</w:t>
            </w:r>
            <w:r w:rsidRPr="002763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:rsidR="00EF2173" w:rsidRDefault="0027631D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 zł/m</w:t>
            </w:r>
            <w:r w:rsidRPr="002763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E5CA8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CA8" w:rsidRDefault="001E5CA8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instalacji elektrycznej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CA8" w:rsidRDefault="005A364D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instalacji elektrycznej (montaż + usługa)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CA8" w:rsidRDefault="005A364D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3 320,00 zł/usługa</w:t>
            </w:r>
          </w:p>
        </w:tc>
      </w:tr>
      <w:tr w:rsidR="007F3489" w:rsidRPr="0060525D" w:rsidTr="00465C6D">
        <w:tc>
          <w:tcPr>
            <w:tcW w:w="9889" w:type="dxa"/>
            <w:gridSpan w:val="3"/>
            <w:shd w:val="clear" w:color="auto" w:fill="B2A1C7" w:themeFill="accent4" w:themeFillTint="99"/>
          </w:tcPr>
          <w:p w:rsidR="007F3489" w:rsidRDefault="007F3489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89">
              <w:rPr>
                <w:rFonts w:ascii="Times New Roman" w:hAnsi="Times New Roman" w:cs="Times New Roman"/>
                <w:b/>
                <w:sz w:val="24"/>
                <w:szCs w:val="24"/>
              </w:rPr>
              <w:t>WYNAJEM SALI</w:t>
            </w:r>
          </w:p>
        </w:tc>
      </w:tr>
      <w:tr w:rsidR="00FF2A24" w:rsidRPr="0060525D" w:rsidTr="00145456">
        <w:tc>
          <w:tcPr>
            <w:tcW w:w="2943" w:type="dxa"/>
            <w:shd w:val="clear" w:color="auto" w:fill="FFFFFF" w:themeFill="background1"/>
          </w:tcPr>
          <w:p w:rsidR="00FF2A24" w:rsidRDefault="00FF2A24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r w:rsidR="000859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0859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:rsidR="00FF2A24" w:rsidRDefault="00FF2A24" w:rsidP="00FF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przypadku, gdy podmiot realizujący </w:t>
            </w:r>
            <w:r w:rsidR="002204F4">
              <w:rPr>
                <w:rFonts w:ascii="Times New Roman" w:hAnsi="Times New Roman" w:cs="Times New Roman"/>
                <w:sz w:val="24"/>
                <w:szCs w:val="24"/>
              </w:rPr>
              <w:t>projekt wnosi sale jako wkład własny niepieniężny, wartość wkładu wycenia się jako koszt amortyzacji lub wynajmu (stawkę można określić np. cennik danej instytucji).</w:t>
            </w:r>
          </w:p>
        </w:tc>
      </w:tr>
      <w:tr w:rsidR="007F3489" w:rsidRPr="0060525D" w:rsidTr="00145456">
        <w:tc>
          <w:tcPr>
            <w:tcW w:w="2943" w:type="dxa"/>
            <w:shd w:val="clear" w:color="auto" w:fill="FFFFFF" w:themeFill="background1"/>
          </w:tcPr>
          <w:p w:rsidR="007F3489" w:rsidRDefault="000859AD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komputerowa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F3489" w:rsidRDefault="000859AD" w:rsidP="009D0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obejmuje: zapewnienie odpowiednich warunków socjalnych oraz bhp, w tym uwzględniających niwelowanie barier architektonicznych w związku z udziałem w projekcie osób niepełnosprawnych.</w:t>
            </w:r>
          </w:p>
        </w:tc>
        <w:tc>
          <w:tcPr>
            <w:tcW w:w="2551" w:type="dxa"/>
            <w:shd w:val="clear" w:color="auto" w:fill="FFFFFF" w:themeFill="background1"/>
          </w:tcPr>
          <w:p w:rsidR="007F3489" w:rsidRDefault="000859AD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 zł/h</w:t>
            </w:r>
          </w:p>
        </w:tc>
      </w:tr>
      <w:tr w:rsidR="007F3489" w:rsidRPr="0060525D" w:rsidTr="00145456">
        <w:tc>
          <w:tcPr>
            <w:tcW w:w="2943" w:type="dxa"/>
            <w:shd w:val="clear" w:color="auto" w:fill="FFFFFF" w:themeFill="background1"/>
          </w:tcPr>
          <w:p w:rsidR="007F3489" w:rsidRDefault="009D06B5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szkoleniowa (do 20 osób)*</w:t>
            </w:r>
            <w:r w:rsidR="008907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7F3489" w:rsidRDefault="009D06B5" w:rsidP="009D0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niepełnosprawnych. Sala szkoleniowa musi zapewnić 20 miejsc (stanowisk) szkoleniowych, być wyposażona w projektor multimedialny, flipchart lub tablicę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posiadać dostęp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:rsidR="007F3489" w:rsidRDefault="00661BA9" w:rsidP="006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37,00 zł/</w:t>
            </w:r>
            <w:r w:rsidR="006418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641837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1837" w:rsidRDefault="00641837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szkoleniowa (</w:t>
            </w:r>
            <w:r w:rsidR="00690D76">
              <w:rPr>
                <w:rFonts w:ascii="Times New Roman" w:hAnsi="Times New Roman" w:cs="Times New Roman"/>
                <w:sz w:val="24"/>
                <w:szCs w:val="24"/>
              </w:rPr>
              <w:t>60-80 osób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="008907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1837" w:rsidRDefault="00641837" w:rsidP="00641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szkoleniowa musi zapewnić 20 miejsc (stanowisk) szkoleniowych, być wyposażona w projektor multimedialny, flipchart lub tablicę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posiadać dostęp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1837" w:rsidRDefault="00690D76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641837">
              <w:rPr>
                <w:rFonts w:ascii="Times New Roman" w:hAnsi="Times New Roman" w:cs="Times New Roman"/>
                <w:sz w:val="24"/>
                <w:szCs w:val="24"/>
              </w:rPr>
              <w:t>,00 zł/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</w:p>
        </w:tc>
      </w:tr>
      <w:tr w:rsidR="00690D76" w:rsidRPr="0060525D" w:rsidTr="00465C6D">
        <w:tc>
          <w:tcPr>
            <w:tcW w:w="9889" w:type="dxa"/>
            <w:gridSpan w:val="3"/>
            <w:shd w:val="clear" w:color="auto" w:fill="B2A1C7" w:themeFill="accent4" w:themeFillTint="99"/>
          </w:tcPr>
          <w:p w:rsidR="00690D76" w:rsidRPr="00690D76" w:rsidRDefault="00690D76" w:rsidP="0064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76">
              <w:rPr>
                <w:rFonts w:ascii="Times New Roman" w:hAnsi="Times New Roman" w:cs="Times New Roman"/>
                <w:b/>
                <w:sz w:val="24"/>
                <w:szCs w:val="24"/>
              </w:rPr>
              <w:t>WYŻYWIENIE UCZESTNIKÓW PROJEKTU – nie dotyczy wyżywienia dzieci w ramach poddziałania 3.1.1</w:t>
            </w:r>
          </w:p>
        </w:tc>
      </w:tr>
      <w:tr w:rsidR="00690D76" w:rsidRPr="0060525D" w:rsidTr="00145456">
        <w:tc>
          <w:tcPr>
            <w:tcW w:w="2943" w:type="dxa"/>
            <w:shd w:val="clear" w:color="auto" w:fill="FFFFFF" w:themeFill="background1"/>
          </w:tcPr>
          <w:p w:rsidR="00690D76" w:rsidRDefault="00145456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690D76" w:rsidRDefault="00145456" w:rsidP="00641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 kawowa jest wydatkiem kwalifikowalnym, o ile jest to uzasadnione specyfiką realizowanego projektu. Kwalifikowalność wydatku jest możliwa tylko w przypadku gdy forma wsparcia, w ramach której przewidziano przerwę kawową dla tej samej grupy osób w danym dniu, trwa dłużej ni</w:t>
            </w:r>
            <w:r w:rsidR="004227F4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godziny.</w:t>
            </w:r>
            <w:r w:rsidR="001D0486">
              <w:rPr>
                <w:rFonts w:ascii="Times New Roman" w:hAnsi="Times New Roman" w:cs="Times New Roman"/>
                <w:sz w:val="24"/>
                <w:szCs w:val="24"/>
              </w:rPr>
              <w:t xml:space="preserve"> Wydatek obejmuje: kawę, herbatę, wodę, mleko, cukier, cytrynę, drobne słone lub słodkie przekąski typu paluszki, ciastka, owoce, przy czym istnieje możliwość szerszego zakresu usługi, o ile mieści się to w określonej cenie rynkowej.</w:t>
            </w:r>
          </w:p>
        </w:tc>
        <w:tc>
          <w:tcPr>
            <w:tcW w:w="2551" w:type="dxa"/>
            <w:shd w:val="clear" w:color="auto" w:fill="FFFFFF" w:themeFill="background1"/>
          </w:tcPr>
          <w:p w:rsidR="00690D76" w:rsidRDefault="001D0486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 zł/osoba</w:t>
            </w:r>
          </w:p>
        </w:tc>
      </w:tr>
      <w:tr w:rsidR="00690D76" w:rsidRPr="0060525D" w:rsidTr="00465C6D"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D76" w:rsidRDefault="00405443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 obiadowa (catering)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0D76" w:rsidRDefault="004227F4" w:rsidP="00641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 obiadowa (catering) dla uczestników projektu jest wydatkiem kwalifikowalnym, o ile jest to uzasadnione specyfiką realizowanego projektu. Kwalifikowalność wydatku jest możliwa tylko w przypadku gdy forma wsparcia, w ramach której przewidziano przerwę obiadową dla tej samej grupy osób w danym dniu, trwa dłużej niż 6 godzin. Wydatek obejmuje: dwa dania (zupę i drugie danie) oraz napój, przy czym istnieje możliwość szerszego zakresu usługi, o ile mieści się to w określonej cenie rynkowej.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D76" w:rsidRDefault="002F66C0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 zł/osoba</w:t>
            </w:r>
          </w:p>
        </w:tc>
      </w:tr>
      <w:tr w:rsidR="00037B5A" w:rsidRPr="0060525D" w:rsidTr="00465C6D">
        <w:tc>
          <w:tcPr>
            <w:tcW w:w="9889" w:type="dxa"/>
            <w:gridSpan w:val="3"/>
            <w:shd w:val="clear" w:color="auto" w:fill="B2A1C7" w:themeFill="accent4" w:themeFillTint="99"/>
          </w:tcPr>
          <w:p w:rsidR="00037B5A" w:rsidRPr="008D239C" w:rsidRDefault="00037B5A" w:rsidP="0064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9C">
              <w:rPr>
                <w:rFonts w:ascii="Times New Roman" w:hAnsi="Times New Roman" w:cs="Times New Roman"/>
                <w:b/>
                <w:sz w:val="24"/>
                <w:szCs w:val="24"/>
              </w:rPr>
              <w:t>ZWROT KOSZTÓW DOJAZDU</w:t>
            </w:r>
          </w:p>
        </w:tc>
      </w:tr>
      <w:tr w:rsidR="00037B5A" w:rsidRPr="0060525D" w:rsidTr="00145456">
        <w:tc>
          <w:tcPr>
            <w:tcW w:w="2943" w:type="dxa"/>
            <w:shd w:val="clear" w:color="auto" w:fill="FFFFFF" w:themeFill="background1"/>
          </w:tcPr>
          <w:p w:rsidR="00037B5A" w:rsidRDefault="00BB731B" w:rsidP="006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Zwrot kosztów dojazd</w:t>
            </w:r>
            <w:r w:rsidR="001C131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037B5A" w:rsidRDefault="001C1315" w:rsidP="001C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</w:tcPr>
          <w:p w:rsidR="00037B5A" w:rsidRDefault="001C1315" w:rsidP="001C1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Wydatek kwalifikowalny do wysokości opłat za środki transportu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publicznego szynowego lub kołowego zgodnie z cennikiem biletów klasy obowiązującym na danym obszarze.</w:t>
            </w:r>
          </w:p>
        </w:tc>
      </w:tr>
    </w:tbl>
    <w:p w:rsidR="003A278F" w:rsidRPr="0081064D" w:rsidRDefault="003A278F" w:rsidP="003A278F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</w:p>
    <w:p w:rsidR="007E71F4" w:rsidRPr="0030622D" w:rsidRDefault="0081064D" w:rsidP="007E71F4">
      <w:pPr>
        <w:pStyle w:val="Default"/>
        <w:ind w:left="-142"/>
        <w:jc w:val="both"/>
        <w:rPr>
          <w:rFonts w:ascii="Times New Roman" w:hAnsi="Times New Roman"/>
        </w:rPr>
      </w:pPr>
      <w:r w:rsidRPr="0081064D">
        <w:rPr>
          <w:rFonts w:ascii="Times New Roman" w:hAnsi="Times New Roman" w:cs="Times New Roman"/>
          <w:color w:val="auto"/>
        </w:rPr>
        <w:t>*</w:t>
      </w:r>
      <w:r w:rsidR="007E71F4" w:rsidRPr="0030622D">
        <w:rPr>
          <w:rFonts w:ascii="Times New Roman" w:hAnsi="Times New Roman"/>
        </w:rPr>
        <w:t>Co do zasady zakup urządzenia wielofunkcyjnego możliwy jest wyłącznie</w:t>
      </w:r>
      <w:r w:rsidR="007E71F4">
        <w:rPr>
          <w:rFonts w:ascii="Times New Roman" w:hAnsi="Times New Roman"/>
        </w:rPr>
        <w:t xml:space="preserve"> w sytuacji,</w:t>
      </w:r>
      <w:r w:rsidR="007E71F4">
        <w:rPr>
          <w:rFonts w:ascii="Times New Roman" w:hAnsi="Times New Roman"/>
        </w:rPr>
        <w:br/>
        <w:t xml:space="preserve">gdy </w:t>
      </w:r>
      <w:r w:rsidR="007E71F4" w:rsidRPr="0030622D">
        <w:rPr>
          <w:rFonts w:ascii="Times New Roman" w:hAnsi="Times New Roman"/>
        </w:rPr>
        <w:t>w projekcie nie są ponoszone wydatki na inny sprzęt służący do druku i sprzęt ten będzie wykorzystywany w projekcie do przygotowywania mater</w:t>
      </w:r>
      <w:r w:rsidR="007E71F4">
        <w:rPr>
          <w:rFonts w:ascii="Times New Roman" w:hAnsi="Times New Roman"/>
        </w:rPr>
        <w:t>iałów dla uczestników projektu,</w:t>
      </w:r>
      <w:r w:rsidR="007E71F4">
        <w:rPr>
          <w:rFonts w:ascii="Times New Roman" w:hAnsi="Times New Roman"/>
        </w:rPr>
        <w:br/>
      </w:r>
      <w:r w:rsidR="007E71F4" w:rsidRPr="0030622D">
        <w:rPr>
          <w:rFonts w:ascii="Times New Roman" w:hAnsi="Times New Roman"/>
        </w:rPr>
        <w:t xml:space="preserve">np. materiałów </w:t>
      </w:r>
      <w:r w:rsidR="007E71F4">
        <w:rPr>
          <w:rFonts w:ascii="Times New Roman" w:hAnsi="Times New Roman"/>
        </w:rPr>
        <w:t>edukacyjnych/</w:t>
      </w:r>
      <w:r w:rsidR="007E71F4" w:rsidRPr="0030622D">
        <w:rPr>
          <w:rFonts w:ascii="Times New Roman" w:hAnsi="Times New Roman"/>
        </w:rPr>
        <w:t xml:space="preserve">szkoleniowych (działania te nie są powierzone przez Wnioskodawcę podmiotowi zewnętrznemu). Poniesienie </w:t>
      </w:r>
      <w:r w:rsidR="007E71F4">
        <w:rPr>
          <w:rFonts w:ascii="Times New Roman" w:hAnsi="Times New Roman"/>
        </w:rPr>
        <w:t xml:space="preserve">wydatku </w:t>
      </w:r>
      <w:r w:rsidR="007E71F4" w:rsidRPr="0030622D">
        <w:rPr>
          <w:rFonts w:ascii="Times New Roman" w:hAnsi="Times New Roman"/>
        </w:rPr>
        <w:t xml:space="preserve">na powyższy sprzęt jest możliwe pod warunkiem, że </w:t>
      </w:r>
      <w:r w:rsidR="007E71F4">
        <w:rPr>
          <w:rFonts w:ascii="Times New Roman" w:hAnsi="Times New Roman"/>
        </w:rPr>
        <w:t>jest on niezbędny i wynika</w:t>
      </w:r>
      <w:r w:rsidR="007E71F4" w:rsidRPr="0030622D">
        <w:rPr>
          <w:rFonts w:ascii="Times New Roman" w:hAnsi="Times New Roman"/>
        </w:rPr>
        <w:t xml:space="preserve"> np. ze specyfiki wsparcia oferowanego projekcie, wielkości grupy docelowej, a konieczność zakupu tych urządzeń została uzasadniona we wniosku</w:t>
      </w:r>
      <w:r w:rsidR="007E71F4">
        <w:rPr>
          <w:rFonts w:ascii="Times New Roman" w:hAnsi="Times New Roman"/>
        </w:rPr>
        <w:t xml:space="preserve"> </w:t>
      </w:r>
      <w:r w:rsidR="007E71F4" w:rsidRPr="0030622D">
        <w:rPr>
          <w:rFonts w:ascii="Times New Roman" w:hAnsi="Times New Roman"/>
        </w:rPr>
        <w:t xml:space="preserve">o dofinansowanie. </w:t>
      </w:r>
    </w:p>
    <w:p w:rsidR="003A278F" w:rsidRDefault="007E71F4" w:rsidP="00690D76">
      <w:pPr>
        <w:pStyle w:val="Default"/>
        <w:ind w:left="-142"/>
        <w:jc w:val="both"/>
        <w:rPr>
          <w:rFonts w:ascii="Times New Roman" w:hAnsi="Times New Roman"/>
        </w:rPr>
      </w:pPr>
      <w:r w:rsidRPr="0030622D">
        <w:rPr>
          <w:rFonts w:ascii="Times New Roman" w:hAnsi="Times New Roman"/>
        </w:rPr>
        <w:t xml:space="preserve">W przypadku, gdy Wnioskodawca w ramach innych projektów finansowanych ze środków unijnych, ze środków własnych czy też ze źródeł prywatnych dokonał zakupu urządzeń do druku, co do zasady należy uznać, że posiada wystarczający potencjał w tym zakresie. Wówczas w ramach nowego projektu możliwy jest zakup materiałów eksploatacyjnych – pod warunkiem, że wydatek ten został uzasadniony. </w:t>
      </w:r>
    </w:p>
    <w:p w:rsidR="00104E3A" w:rsidRDefault="00104E3A" w:rsidP="00690D76">
      <w:pPr>
        <w:pStyle w:val="Default"/>
        <w:ind w:left="-142"/>
        <w:jc w:val="both"/>
        <w:rPr>
          <w:rFonts w:ascii="Times New Roman" w:hAnsi="Times New Roman"/>
        </w:rPr>
      </w:pPr>
    </w:p>
    <w:p w:rsidR="00690D76" w:rsidRDefault="00690D76" w:rsidP="00690D76">
      <w:pPr>
        <w:pStyle w:val="Default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**W przypadku, gdy podmiot realizujący projekt wnosi sale jako wkład własny niepieniężny, wartość wkładu wycenia się jako koszt amortyzacji lub wynajmu (stawkę można określić, np. cennik danej instytucji).</w:t>
      </w:r>
    </w:p>
    <w:p w:rsidR="00104E3A" w:rsidRDefault="00104E3A" w:rsidP="00690D76">
      <w:pPr>
        <w:pStyle w:val="Default"/>
        <w:ind w:left="-142"/>
        <w:jc w:val="both"/>
        <w:rPr>
          <w:rFonts w:ascii="Times New Roman" w:hAnsi="Times New Roman"/>
        </w:rPr>
      </w:pPr>
    </w:p>
    <w:p w:rsidR="00104E3A" w:rsidRPr="00104E3A" w:rsidRDefault="00104E3A" w:rsidP="00690D76">
      <w:pPr>
        <w:pStyle w:val="Default"/>
        <w:ind w:left="-14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Ponadto </w:t>
      </w:r>
      <w:r w:rsidR="00415566">
        <w:rPr>
          <w:rFonts w:ascii="Times New Roman" w:hAnsi="Times New Roman"/>
        </w:rPr>
        <w:t xml:space="preserve">wnioskodawca </w:t>
      </w:r>
      <w:r>
        <w:rPr>
          <w:rFonts w:ascii="Times New Roman" w:hAnsi="Times New Roman"/>
        </w:rPr>
        <w:t xml:space="preserve">obowiązują również zasady określone w </w:t>
      </w:r>
      <w:r w:rsidR="00415566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egulaminie konkursu oraz szczegółowe wytyczne do danego obszaru tematycznego np.: </w:t>
      </w:r>
      <w:r w:rsidRPr="00104E3A">
        <w:rPr>
          <w:rFonts w:ascii="Times New Roman" w:hAnsi="Times New Roman"/>
          <w:i/>
        </w:rPr>
        <w:t xml:space="preserve">„Wytyczne w zakresie realizacji przedsięwzięć z udziałem środków Europejskiego Funduszu Społecznego w obszarze edukacji na lata 20142020.” </w:t>
      </w:r>
    </w:p>
    <w:sectPr w:rsidR="00104E3A" w:rsidRPr="00104E3A" w:rsidSect="00BE6D99">
      <w:pgSz w:w="11906" w:h="16838"/>
      <w:pgMar w:top="851" w:right="1133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8EA" w:rsidRDefault="00FF38EA" w:rsidP="00EF1BF2">
      <w:pPr>
        <w:spacing w:after="0" w:line="240" w:lineRule="auto"/>
      </w:pPr>
      <w:r>
        <w:separator/>
      </w:r>
    </w:p>
  </w:endnote>
  <w:endnote w:type="continuationSeparator" w:id="0">
    <w:p w:rsidR="00FF38EA" w:rsidRDefault="00FF38EA" w:rsidP="00E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8EA" w:rsidRDefault="00FF38EA" w:rsidP="00EF1BF2">
      <w:pPr>
        <w:spacing w:after="0" w:line="240" w:lineRule="auto"/>
      </w:pPr>
      <w:r>
        <w:separator/>
      </w:r>
    </w:p>
  </w:footnote>
  <w:footnote w:type="continuationSeparator" w:id="0">
    <w:p w:rsidR="00FF38EA" w:rsidRDefault="00FF38EA" w:rsidP="00EF1BF2">
      <w:pPr>
        <w:spacing w:after="0" w:line="240" w:lineRule="auto"/>
      </w:pPr>
      <w:r>
        <w:continuationSeparator/>
      </w:r>
    </w:p>
  </w:footnote>
  <w:footnote w:id="1">
    <w:p w:rsidR="00BC1646" w:rsidRPr="00BC1646" w:rsidRDefault="006C755D" w:rsidP="00BC1646">
      <w:pPr>
        <w:spacing w:after="0" w:line="240" w:lineRule="auto"/>
        <w:jc w:val="both"/>
        <w:rPr>
          <w:sz w:val="18"/>
          <w:szCs w:val="18"/>
        </w:rPr>
      </w:pPr>
      <w:r w:rsidRPr="00BC164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C1646">
        <w:rPr>
          <w:rFonts w:ascii="Times New Roman" w:hAnsi="Times New Roman" w:cs="Times New Roman"/>
          <w:sz w:val="18"/>
          <w:szCs w:val="18"/>
        </w:rPr>
        <w:t xml:space="preserve"> </w:t>
      </w:r>
      <w:r w:rsidR="00BC1646" w:rsidRPr="00BC1646">
        <w:rPr>
          <w:rFonts w:ascii="Times New Roman" w:hAnsi="Times New Roman" w:cs="Times New Roman"/>
          <w:sz w:val="18"/>
          <w:szCs w:val="18"/>
        </w:rPr>
        <w:t>Dopuszczalne stawki zostały określone na podstawie danych uzyskanych z rozeznania rynku wyliczonych w następujący sposób: średnia cena rynkowa z badania rynku z co najmniej 3 pozyskanych ofert/publikacji zaokrąglona do pełnych złotych lub na podstawie danych uzyskanych z projektów RPOWP realizowanych w WUP w Białymstoku, wyliczona w następujący sposób: średnia cena jednostkowa wyliczona z co najmniej 3 projektów zaokrąglona do pełnych złotych.</w:t>
      </w:r>
    </w:p>
    <w:p w:rsidR="006C755D" w:rsidRPr="000F0993" w:rsidRDefault="006C755D" w:rsidP="006C755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C4D"/>
    <w:multiLevelType w:val="hybridMultilevel"/>
    <w:tmpl w:val="C3925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92A00"/>
    <w:multiLevelType w:val="hybridMultilevel"/>
    <w:tmpl w:val="BDA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7022"/>
    <w:multiLevelType w:val="hybridMultilevel"/>
    <w:tmpl w:val="14BCD9BA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F15751"/>
    <w:multiLevelType w:val="hybridMultilevel"/>
    <w:tmpl w:val="7A5E0EBE"/>
    <w:lvl w:ilvl="0" w:tplc="0415000D">
      <w:start w:val="1"/>
      <w:numFmt w:val="bullet"/>
      <w:lvlText w:val=""/>
      <w:lvlJc w:val="left"/>
      <w:pPr>
        <w:ind w:left="2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D2E159C"/>
    <w:multiLevelType w:val="hybridMultilevel"/>
    <w:tmpl w:val="469ADB2E"/>
    <w:lvl w:ilvl="0" w:tplc="9A703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B55AB6"/>
    <w:multiLevelType w:val="hybridMultilevel"/>
    <w:tmpl w:val="C33A2F46"/>
    <w:lvl w:ilvl="0" w:tplc="BA9EF6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3A77"/>
    <w:multiLevelType w:val="hybridMultilevel"/>
    <w:tmpl w:val="CC6245E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0891393"/>
    <w:multiLevelType w:val="hybridMultilevel"/>
    <w:tmpl w:val="584A6404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72C6"/>
    <w:multiLevelType w:val="hybridMultilevel"/>
    <w:tmpl w:val="A0A2DD2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0EC22B0"/>
    <w:multiLevelType w:val="hybridMultilevel"/>
    <w:tmpl w:val="F8F6B290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93868"/>
    <w:multiLevelType w:val="hybridMultilevel"/>
    <w:tmpl w:val="7FAEA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78B2"/>
    <w:multiLevelType w:val="hybridMultilevel"/>
    <w:tmpl w:val="14F2D01C"/>
    <w:lvl w:ilvl="0" w:tplc="5438478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A383597"/>
    <w:multiLevelType w:val="hybridMultilevel"/>
    <w:tmpl w:val="47922470"/>
    <w:lvl w:ilvl="0" w:tplc="5438478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3281AB1"/>
    <w:multiLevelType w:val="multilevel"/>
    <w:tmpl w:val="763EB014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upperLetter"/>
      <w:lvlText w:val="%2)"/>
      <w:lvlJc w:val="left"/>
      <w:pPr>
        <w:ind w:left="786" w:hanging="360"/>
      </w:pPr>
      <w:rPr>
        <w:rFonts w:hint="default"/>
        <w:b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1870"/>
        </w:tabs>
        <w:ind w:left="1870" w:hanging="360"/>
      </w:pPr>
    </w:lvl>
    <w:lvl w:ilvl="3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entative="1">
      <w:start w:val="1"/>
      <w:numFmt w:val="decimal"/>
      <w:lvlText w:val="%5."/>
      <w:lvlJc w:val="left"/>
      <w:pPr>
        <w:tabs>
          <w:tab w:val="num" w:pos="3310"/>
        </w:tabs>
        <w:ind w:left="3310" w:hanging="360"/>
      </w:pPr>
    </w:lvl>
    <w:lvl w:ilvl="5" w:tentative="1">
      <w:start w:val="1"/>
      <w:numFmt w:val="decimal"/>
      <w:lvlText w:val="%6."/>
      <w:lvlJc w:val="left"/>
      <w:pPr>
        <w:tabs>
          <w:tab w:val="num" w:pos="4030"/>
        </w:tabs>
        <w:ind w:left="4030" w:hanging="360"/>
      </w:pPr>
    </w:lvl>
    <w:lvl w:ilvl="6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entative="1">
      <w:start w:val="1"/>
      <w:numFmt w:val="decimal"/>
      <w:lvlText w:val="%8."/>
      <w:lvlJc w:val="left"/>
      <w:pPr>
        <w:tabs>
          <w:tab w:val="num" w:pos="5470"/>
        </w:tabs>
        <w:ind w:left="5470" w:hanging="360"/>
      </w:pPr>
    </w:lvl>
    <w:lvl w:ilvl="8" w:tentative="1">
      <w:start w:val="1"/>
      <w:numFmt w:val="decimal"/>
      <w:lvlText w:val="%9."/>
      <w:lvlJc w:val="left"/>
      <w:pPr>
        <w:tabs>
          <w:tab w:val="num" w:pos="6190"/>
        </w:tabs>
        <w:ind w:left="619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7ED"/>
    <w:rsid w:val="00001270"/>
    <w:rsid w:val="00001BE9"/>
    <w:rsid w:val="00004147"/>
    <w:rsid w:val="0000576E"/>
    <w:rsid w:val="00010F8B"/>
    <w:rsid w:val="00011CFC"/>
    <w:rsid w:val="00014CF2"/>
    <w:rsid w:val="00016ECC"/>
    <w:rsid w:val="00020B41"/>
    <w:rsid w:val="0002300C"/>
    <w:rsid w:val="00025E0F"/>
    <w:rsid w:val="00026866"/>
    <w:rsid w:val="000309D2"/>
    <w:rsid w:val="00035A96"/>
    <w:rsid w:val="0003764B"/>
    <w:rsid w:val="00037B5A"/>
    <w:rsid w:val="00043293"/>
    <w:rsid w:val="000438C0"/>
    <w:rsid w:val="00044AB9"/>
    <w:rsid w:val="00046858"/>
    <w:rsid w:val="00052CEC"/>
    <w:rsid w:val="00053CA2"/>
    <w:rsid w:val="000630FB"/>
    <w:rsid w:val="00063A19"/>
    <w:rsid w:val="00065B7E"/>
    <w:rsid w:val="000661E1"/>
    <w:rsid w:val="0006748B"/>
    <w:rsid w:val="00070CDF"/>
    <w:rsid w:val="00071BF4"/>
    <w:rsid w:val="0007344B"/>
    <w:rsid w:val="00074F9F"/>
    <w:rsid w:val="000775F5"/>
    <w:rsid w:val="0008099F"/>
    <w:rsid w:val="00080BBA"/>
    <w:rsid w:val="00082393"/>
    <w:rsid w:val="000855E8"/>
    <w:rsid w:val="000859AD"/>
    <w:rsid w:val="00085F2C"/>
    <w:rsid w:val="00090580"/>
    <w:rsid w:val="00090CE9"/>
    <w:rsid w:val="00092823"/>
    <w:rsid w:val="00097BE1"/>
    <w:rsid w:val="000A09E3"/>
    <w:rsid w:val="000A0CC1"/>
    <w:rsid w:val="000A13F9"/>
    <w:rsid w:val="000A2B6F"/>
    <w:rsid w:val="000A3015"/>
    <w:rsid w:val="000A40E5"/>
    <w:rsid w:val="000A531E"/>
    <w:rsid w:val="000A5696"/>
    <w:rsid w:val="000A6C71"/>
    <w:rsid w:val="000B071F"/>
    <w:rsid w:val="000B3CCA"/>
    <w:rsid w:val="000B4BD4"/>
    <w:rsid w:val="000B521F"/>
    <w:rsid w:val="000B698A"/>
    <w:rsid w:val="000C0438"/>
    <w:rsid w:val="000C0604"/>
    <w:rsid w:val="000C238E"/>
    <w:rsid w:val="000D11BB"/>
    <w:rsid w:val="000D3069"/>
    <w:rsid w:val="000D4264"/>
    <w:rsid w:val="000D658E"/>
    <w:rsid w:val="000E0009"/>
    <w:rsid w:val="000E2DFF"/>
    <w:rsid w:val="000E5E6E"/>
    <w:rsid w:val="000E73F4"/>
    <w:rsid w:val="000F0993"/>
    <w:rsid w:val="000F422F"/>
    <w:rsid w:val="000F6941"/>
    <w:rsid w:val="001001EA"/>
    <w:rsid w:val="001015E9"/>
    <w:rsid w:val="00102BFE"/>
    <w:rsid w:val="00104E3A"/>
    <w:rsid w:val="0010525D"/>
    <w:rsid w:val="001053A2"/>
    <w:rsid w:val="0010567C"/>
    <w:rsid w:val="00106F08"/>
    <w:rsid w:val="00111832"/>
    <w:rsid w:val="00112297"/>
    <w:rsid w:val="001160DE"/>
    <w:rsid w:val="00116458"/>
    <w:rsid w:val="001217A4"/>
    <w:rsid w:val="00121EEE"/>
    <w:rsid w:val="001229EE"/>
    <w:rsid w:val="00124D60"/>
    <w:rsid w:val="001319C0"/>
    <w:rsid w:val="001416AC"/>
    <w:rsid w:val="00145456"/>
    <w:rsid w:val="001517B7"/>
    <w:rsid w:val="00154EC3"/>
    <w:rsid w:val="00162302"/>
    <w:rsid w:val="0016434E"/>
    <w:rsid w:val="00166B0B"/>
    <w:rsid w:val="00167AA1"/>
    <w:rsid w:val="00170752"/>
    <w:rsid w:val="001733AC"/>
    <w:rsid w:val="00175953"/>
    <w:rsid w:val="00181F55"/>
    <w:rsid w:val="00186EF4"/>
    <w:rsid w:val="00192808"/>
    <w:rsid w:val="00192F53"/>
    <w:rsid w:val="00194228"/>
    <w:rsid w:val="001945E3"/>
    <w:rsid w:val="001946A0"/>
    <w:rsid w:val="001A5207"/>
    <w:rsid w:val="001A5523"/>
    <w:rsid w:val="001A752E"/>
    <w:rsid w:val="001B22A4"/>
    <w:rsid w:val="001B2C91"/>
    <w:rsid w:val="001B4872"/>
    <w:rsid w:val="001B61F4"/>
    <w:rsid w:val="001C00D7"/>
    <w:rsid w:val="001C1315"/>
    <w:rsid w:val="001C1F1B"/>
    <w:rsid w:val="001C267E"/>
    <w:rsid w:val="001C5A14"/>
    <w:rsid w:val="001D0486"/>
    <w:rsid w:val="001D0C1D"/>
    <w:rsid w:val="001D1631"/>
    <w:rsid w:val="001D1763"/>
    <w:rsid w:val="001D6AA9"/>
    <w:rsid w:val="001E0DD9"/>
    <w:rsid w:val="001E2FA6"/>
    <w:rsid w:val="001E3D30"/>
    <w:rsid w:val="001E4C65"/>
    <w:rsid w:val="001E51F1"/>
    <w:rsid w:val="001E5CA8"/>
    <w:rsid w:val="001E7BAD"/>
    <w:rsid w:val="001F07F0"/>
    <w:rsid w:val="001F0ED4"/>
    <w:rsid w:val="001F296E"/>
    <w:rsid w:val="001F2C76"/>
    <w:rsid w:val="001F52ED"/>
    <w:rsid w:val="001F58B4"/>
    <w:rsid w:val="001F6B03"/>
    <w:rsid w:val="002045F0"/>
    <w:rsid w:val="002051CE"/>
    <w:rsid w:val="00207751"/>
    <w:rsid w:val="00210DEE"/>
    <w:rsid w:val="00212EB5"/>
    <w:rsid w:val="00214342"/>
    <w:rsid w:val="0021488C"/>
    <w:rsid w:val="002204F4"/>
    <w:rsid w:val="00222EE7"/>
    <w:rsid w:val="002230C1"/>
    <w:rsid w:val="00225A29"/>
    <w:rsid w:val="00227D3B"/>
    <w:rsid w:val="0023030A"/>
    <w:rsid w:val="00237754"/>
    <w:rsid w:val="002508C2"/>
    <w:rsid w:val="00250CC2"/>
    <w:rsid w:val="00251341"/>
    <w:rsid w:val="00253BD8"/>
    <w:rsid w:val="002558F9"/>
    <w:rsid w:val="00257CE2"/>
    <w:rsid w:val="002609DC"/>
    <w:rsid w:val="00260A02"/>
    <w:rsid w:val="00262CB1"/>
    <w:rsid w:val="00264921"/>
    <w:rsid w:val="00273FE3"/>
    <w:rsid w:val="00274904"/>
    <w:rsid w:val="0027631D"/>
    <w:rsid w:val="00276DB7"/>
    <w:rsid w:val="0028038A"/>
    <w:rsid w:val="00284BAC"/>
    <w:rsid w:val="00286814"/>
    <w:rsid w:val="002926DF"/>
    <w:rsid w:val="00295E21"/>
    <w:rsid w:val="00296284"/>
    <w:rsid w:val="002A1E03"/>
    <w:rsid w:val="002A2FDE"/>
    <w:rsid w:val="002A39FB"/>
    <w:rsid w:val="002A4794"/>
    <w:rsid w:val="002A4E85"/>
    <w:rsid w:val="002A5089"/>
    <w:rsid w:val="002A75C0"/>
    <w:rsid w:val="002B17F3"/>
    <w:rsid w:val="002C0252"/>
    <w:rsid w:val="002C30E3"/>
    <w:rsid w:val="002D0BCA"/>
    <w:rsid w:val="002D27C2"/>
    <w:rsid w:val="002E093C"/>
    <w:rsid w:val="002E0CAF"/>
    <w:rsid w:val="002E1C06"/>
    <w:rsid w:val="002E4BC8"/>
    <w:rsid w:val="002F0A63"/>
    <w:rsid w:val="002F66C0"/>
    <w:rsid w:val="0030520B"/>
    <w:rsid w:val="00306166"/>
    <w:rsid w:val="00311FF7"/>
    <w:rsid w:val="0032004C"/>
    <w:rsid w:val="00324669"/>
    <w:rsid w:val="00325341"/>
    <w:rsid w:val="00326618"/>
    <w:rsid w:val="00333E7E"/>
    <w:rsid w:val="00333EE7"/>
    <w:rsid w:val="0033438D"/>
    <w:rsid w:val="00334A25"/>
    <w:rsid w:val="00334C1C"/>
    <w:rsid w:val="00334E0D"/>
    <w:rsid w:val="00337D7A"/>
    <w:rsid w:val="00345123"/>
    <w:rsid w:val="003456C8"/>
    <w:rsid w:val="0034650E"/>
    <w:rsid w:val="0035276B"/>
    <w:rsid w:val="00352AE9"/>
    <w:rsid w:val="00353BD3"/>
    <w:rsid w:val="0035510B"/>
    <w:rsid w:val="003558E9"/>
    <w:rsid w:val="0035795A"/>
    <w:rsid w:val="00357A13"/>
    <w:rsid w:val="00360E12"/>
    <w:rsid w:val="00361EFF"/>
    <w:rsid w:val="00362F96"/>
    <w:rsid w:val="00364AE6"/>
    <w:rsid w:val="00364E1F"/>
    <w:rsid w:val="00371331"/>
    <w:rsid w:val="00371F63"/>
    <w:rsid w:val="003733DE"/>
    <w:rsid w:val="0037474F"/>
    <w:rsid w:val="003854B7"/>
    <w:rsid w:val="00390C72"/>
    <w:rsid w:val="00391449"/>
    <w:rsid w:val="00391E51"/>
    <w:rsid w:val="0039693C"/>
    <w:rsid w:val="003A0AF9"/>
    <w:rsid w:val="003A278F"/>
    <w:rsid w:val="003A2B68"/>
    <w:rsid w:val="003A4409"/>
    <w:rsid w:val="003A5286"/>
    <w:rsid w:val="003B6AF1"/>
    <w:rsid w:val="003C326C"/>
    <w:rsid w:val="003C5A2B"/>
    <w:rsid w:val="003D0425"/>
    <w:rsid w:val="003D0F19"/>
    <w:rsid w:val="003D3E3A"/>
    <w:rsid w:val="003D5657"/>
    <w:rsid w:val="003D617A"/>
    <w:rsid w:val="003E63A6"/>
    <w:rsid w:val="003E6981"/>
    <w:rsid w:val="003F1204"/>
    <w:rsid w:val="003F7220"/>
    <w:rsid w:val="003F7229"/>
    <w:rsid w:val="004005E0"/>
    <w:rsid w:val="0040212C"/>
    <w:rsid w:val="00403F77"/>
    <w:rsid w:val="004045FE"/>
    <w:rsid w:val="00405443"/>
    <w:rsid w:val="00405B4E"/>
    <w:rsid w:val="00413943"/>
    <w:rsid w:val="00415566"/>
    <w:rsid w:val="00420F36"/>
    <w:rsid w:val="004227F4"/>
    <w:rsid w:val="00423184"/>
    <w:rsid w:val="00427397"/>
    <w:rsid w:val="00432B86"/>
    <w:rsid w:val="00436385"/>
    <w:rsid w:val="00441E75"/>
    <w:rsid w:val="0044360D"/>
    <w:rsid w:val="0044479A"/>
    <w:rsid w:val="00451FF6"/>
    <w:rsid w:val="0045374B"/>
    <w:rsid w:val="00456151"/>
    <w:rsid w:val="00456D7F"/>
    <w:rsid w:val="00461044"/>
    <w:rsid w:val="00461930"/>
    <w:rsid w:val="00462021"/>
    <w:rsid w:val="004643E7"/>
    <w:rsid w:val="004655F1"/>
    <w:rsid w:val="00465C6D"/>
    <w:rsid w:val="00467857"/>
    <w:rsid w:val="00477B0D"/>
    <w:rsid w:val="00481C7D"/>
    <w:rsid w:val="004862CF"/>
    <w:rsid w:val="004871FF"/>
    <w:rsid w:val="00487A3C"/>
    <w:rsid w:val="0049102F"/>
    <w:rsid w:val="004A103A"/>
    <w:rsid w:val="004A12F3"/>
    <w:rsid w:val="004A31D5"/>
    <w:rsid w:val="004C7CAF"/>
    <w:rsid w:val="004D008D"/>
    <w:rsid w:val="004D1C0F"/>
    <w:rsid w:val="004D1D76"/>
    <w:rsid w:val="004D3EE2"/>
    <w:rsid w:val="004D7EA9"/>
    <w:rsid w:val="004E2996"/>
    <w:rsid w:val="004E3EF7"/>
    <w:rsid w:val="004E4AE8"/>
    <w:rsid w:val="004E6974"/>
    <w:rsid w:val="004F44D9"/>
    <w:rsid w:val="00500A76"/>
    <w:rsid w:val="0050116E"/>
    <w:rsid w:val="00501F66"/>
    <w:rsid w:val="005142C8"/>
    <w:rsid w:val="00515D8E"/>
    <w:rsid w:val="00516396"/>
    <w:rsid w:val="00521DF0"/>
    <w:rsid w:val="005232BA"/>
    <w:rsid w:val="0052455C"/>
    <w:rsid w:val="0053249E"/>
    <w:rsid w:val="0053476B"/>
    <w:rsid w:val="0053715A"/>
    <w:rsid w:val="005376D9"/>
    <w:rsid w:val="00537F1B"/>
    <w:rsid w:val="00551811"/>
    <w:rsid w:val="0055328D"/>
    <w:rsid w:val="0055586C"/>
    <w:rsid w:val="005622F3"/>
    <w:rsid w:val="00564B44"/>
    <w:rsid w:val="00565B1B"/>
    <w:rsid w:val="0056776C"/>
    <w:rsid w:val="00570730"/>
    <w:rsid w:val="0057289C"/>
    <w:rsid w:val="0057433E"/>
    <w:rsid w:val="00576802"/>
    <w:rsid w:val="00581067"/>
    <w:rsid w:val="005822E2"/>
    <w:rsid w:val="005825B8"/>
    <w:rsid w:val="005830F5"/>
    <w:rsid w:val="00583288"/>
    <w:rsid w:val="00584C55"/>
    <w:rsid w:val="005855C7"/>
    <w:rsid w:val="00587835"/>
    <w:rsid w:val="00590897"/>
    <w:rsid w:val="00595A42"/>
    <w:rsid w:val="0059639F"/>
    <w:rsid w:val="00597912"/>
    <w:rsid w:val="005A1615"/>
    <w:rsid w:val="005A364D"/>
    <w:rsid w:val="005A390D"/>
    <w:rsid w:val="005B2685"/>
    <w:rsid w:val="005B3626"/>
    <w:rsid w:val="005B51E9"/>
    <w:rsid w:val="005B5590"/>
    <w:rsid w:val="005B60E3"/>
    <w:rsid w:val="005B727C"/>
    <w:rsid w:val="005C054F"/>
    <w:rsid w:val="005C0B03"/>
    <w:rsid w:val="005C22B0"/>
    <w:rsid w:val="005C2805"/>
    <w:rsid w:val="005C64B9"/>
    <w:rsid w:val="005D22A6"/>
    <w:rsid w:val="005D2DE1"/>
    <w:rsid w:val="005E0BB4"/>
    <w:rsid w:val="005E0FD8"/>
    <w:rsid w:val="005E1003"/>
    <w:rsid w:val="005E2366"/>
    <w:rsid w:val="005F28A3"/>
    <w:rsid w:val="005F5C2C"/>
    <w:rsid w:val="005F656F"/>
    <w:rsid w:val="005F7367"/>
    <w:rsid w:val="005F7C3E"/>
    <w:rsid w:val="00600098"/>
    <w:rsid w:val="006038B8"/>
    <w:rsid w:val="0060525D"/>
    <w:rsid w:val="00611C6C"/>
    <w:rsid w:val="006125A0"/>
    <w:rsid w:val="00613BC5"/>
    <w:rsid w:val="0061484E"/>
    <w:rsid w:val="006207E5"/>
    <w:rsid w:val="00620EAE"/>
    <w:rsid w:val="00625294"/>
    <w:rsid w:val="00625C64"/>
    <w:rsid w:val="00625EB7"/>
    <w:rsid w:val="00627817"/>
    <w:rsid w:val="00633981"/>
    <w:rsid w:val="0063525B"/>
    <w:rsid w:val="00641837"/>
    <w:rsid w:val="0064342C"/>
    <w:rsid w:val="006506FF"/>
    <w:rsid w:val="0065116F"/>
    <w:rsid w:val="00655644"/>
    <w:rsid w:val="00661BA9"/>
    <w:rsid w:val="00676D4D"/>
    <w:rsid w:val="006823E4"/>
    <w:rsid w:val="0068435A"/>
    <w:rsid w:val="006848F0"/>
    <w:rsid w:val="00685134"/>
    <w:rsid w:val="00690D76"/>
    <w:rsid w:val="00695203"/>
    <w:rsid w:val="006967C4"/>
    <w:rsid w:val="00696E16"/>
    <w:rsid w:val="006A0917"/>
    <w:rsid w:val="006A3662"/>
    <w:rsid w:val="006A40FF"/>
    <w:rsid w:val="006A5D44"/>
    <w:rsid w:val="006A69B0"/>
    <w:rsid w:val="006A7000"/>
    <w:rsid w:val="006B0D27"/>
    <w:rsid w:val="006B0E03"/>
    <w:rsid w:val="006B1F67"/>
    <w:rsid w:val="006B2197"/>
    <w:rsid w:val="006B384A"/>
    <w:rsid w:val="006B6753"/>
    <w:rsid w:val="006B7111"/>
    <w:rsid w:val="006C2518"/>
    <w:rsid w:val="006C3EF6"/>
    <w:rsid w:val="006C4E75"/>
    <w:rsid w:val="006C5BB1"/>
    <w:rsid w:val="006C689A"/>
    <w:rsid w:val="006C755D"/>
    <w:rsid w:val="006C7B68"/>
    <w:rsid w:val="006D00CF"/>
    <w:rsid w:val="006D05FE"/>
    <w:rsid w:val="006D088E"/>
    <w:rsid w:val="006D573E"/>
    <w:rsid w:val="006D7A66"/>
    <w:rsid w:val="006E0164"/>
    <w:rsid w:val="006E2A3D"/>
    <w:rsid w:val="006E3771"/>
    <w:rsid w:val="006E3FA6"/>
    <w:rsid w:val="006E59FC"/>
    <w:rsid w:val="006E75EB"/>
    <w:rsid w:val="006E78EC"/>
    <w:rsid w:val="006F032D"/>
    <w:rsid w:val="006F0CF5"/>
    <w:rsid w:val="006F1D59"/>
    <w:rsid w:val="006F5ED4"/>
    <w:rsid w:val="006F6236"/>
    <w:rsid w:val="00700349"/>
    <w:rsid w:val="00701663"/>
    <w:rsid w:val="00703966"/>
    <w:rsid w:val="0070464F"/>
    <w:rsid w:val="007057E7"/>
    <w:rsid w:val="00706234"/>
    <w:rsid w:val="00710333"/>
    <w:rsid w:val="00711FF9"/>
    <w:rsid w:val="0071244F"/>
    <w:rsid w:val="0071558A"/>
    <w:rsid w:val="0071678F"/>
    <w:rsid w:val="00720441"/>
    <w:rsid w:val="00721DFC"/>
    <w:rsid w:val="00723171"/>
    <w:rsid w:val="007267ED"/>
    <w:rsid w:val="007307EF"/>
    <w:rsid w:val="00736A56"/>
    <w:rsid w:val="00736F85"/>
    <w:rsid w:val="00740F21"/>
    <w:rsid w:val="007446A3"/>
    <w:rsid w:val="00747270"/>
    <w:rsid w:val="0075733B"/>
    <w:rsid w:val="00757A43"/>
    <w:rsid w:val="007607CE"/>
    <w:rsid w:val="00761502"/>
    <w:rsid w:val="00761865"/>
    <w:rsid w:val="00766F19"/>
    <w:rsid w:val="00773CC9"/>
    <w:rsid w:val="00773F5A"/>
    <w:rsid w:val="00775097"/>
    <w:rsid w:val="0078542C"/>
    <w:rsid w:val="00785526"/>
    <w:rsid w:val="007871A3"/>
    <w:rsid w:val="00790E7C"/>
    <w:rsid w:val="00790FB0"/>
    <w:rsid w:val="007939D5"/>
    <w:rsid w:val="00793B62"/>
    <w:rsid w:val="007B10BC"/>
    <w:rsid w:val="007B2A46"/>
    <w:rsid w:val="007B3C45"/>
    <w:rsid w:val="007B4665"/>
    <w:rsid w:val="007B5B8F"/>
    <w:rsid w:val="007C2BE0"/>
    <w:rsid w:val="007C560F"/>
    <w:rsid w:val="007C6856"/>
    <w:rsid w:val="007D1E56"/>
    <w:rsid w:val="007D2A76"/>
    <w:rsid w:val="007D30D3"/>
    <w:rsid w:val="007D7466"/>
    <w:rsid w:val="007E18C7"/>
    <w:rsid w:val="007E22E1"/>
    <w:rsid w:val="007E5FBE"/>
    <w:rsid w:val="007E6A98"/>
    <w:rsid w:val="007E71F4"/>
    <w:rsid w:val="007F3489"/>
    <w:rsid w:val="007F4A9A"/>
    <w:rsid w:val="008018FD"/>
    <w:rsid w:val="00807727"/>
    <w:rsid w:val="008104A2"/>
    <w:rsid w:val="0081064D"/>
    <w:rsid w:val="008121FC"/>
    <w:rsid w:val="0081327F"/>
    <w:rsid w:val="00824409"/>
    <w:rsid w:val="00825DD2"/>
    <w:rsid w:val="00835881"/>
    <w:rsid w:val="008362D0"/>
    <w:rsid w:val="00836AD0"/>
    <w:rsid w:val="008373EC"/>
    <w:rsid w:val="00840E6A"/>
    <w:rsid w:val="00840F6C"/>
    <w:rsid w:val="0084289C"/>
    <w:rsid w:val="008563E0"/>
    <w:rsid w:val="00856EFF"/>
    <w:rsid w:val="00865EEB"/>
    <w:rsid w:val="00866743"/>
    <w:rsid w:val="00873B08"/>
    <w:rsid w:val="00876006"/>
    <w:rsid w:val="00876700"/>
    <w:rsid w:val="0088112C"/>
    <w:rsid w:val="0088218F"/>
    <w:rsid w:val="00886FCD"/>
    <w:rsid w:val="0089074E"/>
    <w:rsid w:val="00893B8F"/>
    <w:rsid w:val="00893CB4"/>
    <w:rsid w:val="00896967"/>
    <w:rsid w:val="008A0950"/>
    <w:rsid w:val="008A502D"/>
    <w:rsid w:val="008A5883"/>
    <w:rsid w:val="008A701F"/>
    <w:rsid w:val="008B5C8F"/>
    <w:rsid w:val="008C0593"/>
    <w:rsid w:val="008C1226"/>
    <w:rsid w:val="008C467E"/>
    <w:rsid w:val="008C6356"/>
    <w:rsid w:val="008D038B"/>
    <w:rsid w:val="008D0BEC"/>
    <w:rsid w:val="008D1820"/>
    <w:rsid w:val="008D239C"/>
    <w:rsid w:val="008D3E45"/>
    <w:rsid w:val="008D591A"/>
    <w:rsid w:val="008E29E2"/>
    <w:rsid w:val="008E3272"/>
    <w:rsid w:val="008E6F0E"/>
    <w:rsid w:val="008F1811"/>
    <w:rsid w:val="008F46AA"/>
    <w:rsid w:val="008F65BC"/>
    <w:rsid w:val="00901BEE"/>
    <w:rsid w:val="00903430"/>
    <w:rsid w:val="009063E5"/>
    <w:rsid w:val="0090771C"/>
    <w:rsid w:val="009104BC"/>
    <w:rsid w:val="00912B72"/>
    <w:rsid w:val="009168FA"/>
    <w:rsid w:val="009230D3"/>
    <w:rsid w:val="009230E0"/>
    <w:rsid w:val="00923829"/>
    <w:rsid w:val="00926C3D"/>
    <w:rsid w:val="009270C6"/>
    <w:rsid w:val="009273C7"/>
    <w:rsid w:val="009274B0"/>
    <w:rsid w:val="0093029D"/>
    <w:rsid w:val="009306C8"/>
    <w:rsid w:val="009315CD"/>
    <w:rsid w:val="00940681"/>
    <w:rsid w:val="00940F06"/>
    <w:rsid w:val="00944382"/>
    <w:rsid w:val="00946658"/>
    <w:rsid w:val="00947CFA"/>
    <w:rsid w:val="00951D11"/>
    <w:rsid w:val="00954DBB"/>
    <w:rsid w:val="009573CB"/>
    <w:rsid w:val="009578CD"/>
    <w:rsid w:val="00957C50"/>
    <w:rsid w:val="00962DC1"/>
    <w:rsid w:val="009634A7"/>
    <w:rsid w:val="00965839"/>
    <w:rsid w:val="009669D5"/>
    <w:rsid w:val="009708B9"/>
    <w:rsid w:val="00980CC1"/>
    <w:rsid w:val="00983083"/>
    <w:rsid w:val="00983B2F"/>
    <w:rsid w:val="009904C8"/>
    <w:rsid w:val="00995365"/>
    <w:rsid w:val="009971D0"/>
    <w:rsid w:val="009A5E65"/>
    <w:rsid w:val="009A7B53"/>
    <w:rsid w:val="009B0D92"/>
    <w:rsid w:val="009B1E86"/>
    <w:rsid w:val="009B2359"/>
    <w:rsid w:val="009B2822"/>
    <w:rsid w:val="009B57BD"/>
    <w:rsid w:val="009D06B5"/>
    <w:rsid w:val="009D0C04"/>
    <w:rsid w:val="009D74C8"/>
    <w:rsid w:val="009E3348"/>
    <w:rsid w:val="009E427D"/>
    <w:rsid w:val="009E5F33"/>
    <w:rsid w:val="009E5F4A"/>
    <w:rsid w:val="009E6DDE"/>
    <w:rsid w:val="009F0066"/>
    <w:rsid w:val="009F0AEA"/>
    <w:rsid w:val="009F1B6A"/>
    <w:rsid w:val="009F3609"/>
    <w:rsid w:val="00A05A82"/>
    <w:rsid w:val="00A06621"/>
    <w:rsid w:val="00A135D6"/>
    <w:rsid w:val="00A148D1"/>
    <w:rsid w:val="00A15D6F"/>
    <w:rsid w:val="00A2026C"/>
    <w:rsid w:val="00A26A09"/>
    <w:rsid w:val="00A26F9C"/>
    <w:rsid w:val="00A273C7"/>
    <w:rsid w:val="00A32009"/>
    <w:rsid w:val="00A36879"/>
    <w:rsid w:val="00A36A1E"/>
    <w:rsid w:val="00A36E95"/>
    <w:rsid w:val="00A426B3"/>
    <w:rsid w:val="00A44B59"/>
    <w:rsid w:val="00A50A4C"/>
    <w:rsid w:val="00A513D4"/>
    <w:rsid w:val="00A546F6"/>
    <w:rsid w:val="00A573FD"/>
    <w:rsid w:val="00A61459"/>
    <w:rsid w:val="00A61DFC"/>
    <w:rsid w:val="00A6372B"/>
    <w:rsid w:val="00A65E9D"/>
    <w:rsid w:val="00A75439"/>
    <w:rsid w:val="00A762BA"/>
    <w:rsid w:val="00A771AF"/>
    <w:rsid w:val="00A805EB"/>
    <w:rsid w:val="00A86A18"/>
    <w:rsid w:val="00A904D1"/>
    <w:rsid w:val="00A910DC"/>
    <w:rsid w:val="00A93DD2"/>
    <w:rsid w:val="00A94527"/>
    <w:rsid w:val="00A95816"/>
    <w:rsid w:val="00A96038"/>
    <w:rsid w:val="00AA33F3"/>
    <w:rsid w:val="00AA3899"/>
    <w:rsid w:val="00AA5C3C"/>
    <w:rsid w:val="00AA7AF4"/>
    <w:rsid w:val="00AB0613"/>
    <w:rsid w:val="00AB1DEB"/>
    <w:rsid w:val="00AB4E5D"/>
    <w:rsid w:val="00AC29E6"/>
    <w:rsid w:val="00AE1789"/>
    <w:rsid w:val="00AE5F61"/>
    <w:rsid w:val="00AE7397"/>
    <w:rsid w:val="00AE7EA6"/>
    <w:rsid w:val="00AF39A2"/>
    <w:rsid w:val="00AF5196"/>
    <w:rsid w:val="00AF569F"/>
    <w:rsid w:val="00AF61B8"/>
    <w:rsid w:val="00AF63B6"/>
    <w:rsid w:val="00B00AE3"/>
    <w:rsid w:val="00B024BB"/>
    <w:rsid w:val="00B05464"/>
    <w:rsid w:val="00B06B6D"/>
    <w:rsid w:val="00B106BD"/>
    <w:rsid w:val="00B12372"/>
    <w:rsid w:val="00B147C2"/>
    <w:rsid w:val="00B16679"/>
    <w:rsid w:val="00B170D3"/>
    <w:rsid w:val="00B23EC1"/>
    <w:rsid w:val="00B24C4B"/>
    <w:rsid w:val="00B27AC6"/>
    <w:rsid w:val="00B35F4E"/>
    <w:rsid w:val="00B3732A"/>
    <w:rsid w:val="00B41731"/>
    <w:rsid w:val="00B4467C"/>
    <w:rsid w:val="00B45696"/>
    <w:rsid w:val="00B460D9"/>
    <w:rsid w:val="00B52487"/>
    <w:rsid w:val="00B563FF"/>
    <w:rsid w:val="00B60349"/>
    <w:rsid w:val="00B61966"/>
    <w:rsid w:val="00B70213"/>
    <w:rsid w:val="00B710D1"/>
    <w:rsid w:val="00B7449B"/>
    <w:rsid w:val="00B77545"/>
    <w:rsid w:val="00B77692"/>
    <w:rsid w:val="00B80D19"/>
    <w:rsid w:val="00B84944"/>
    <w:rsid w:val="00B87D41"/>
    <w:rsid w:val="00B9035A"/>
    <w:rsid w:val="00B94ADC"/>
    <w:rsid w:val="00B979EC"/>
    <w:rsid w:val="00BA059E"/>
    <w:rsid w:val="00BA1DF8"/>
    <w:rsid w:val="00BA6604"/>
    <w:rsid w:val="00BA6762"/>
    <w:rsid w:val="00BB1BA1"/>
    <w:rsid w:val="00BB3EAB"/>
    <w:rsid w:val="00BB64F3"/>
    <w:rsid w:val="00BB731B"/>
    <w:rsid w:val="00BC0CE5"/>
    <w:rsid w:val="00BC1646"/>
    <w:rsid w:val="00BC4BD1"/>
    <w:rsid w:val="00BD45E9"/>
    <w:rsid w:val="00BD49C9"/>
    <w:rsid w:val="00BD5501"/>
    <w:rsid w:val="00BD57D5"/>
    <w:rsid w:val="00BD782C"/>
    <w:rsid w:val="00BE266E"/>
    <w:rsid w:val="00BE2A30"/>
    <w:rsid w:val="00BE2DAD"/>
    <w:rsid w:val="00BE2EDA"/>
    <w:rsid w:val="00BE5503"/>
    <w:rsid w:val="00BE6B36"/>
    <w:rsid w:val="00BE6D99"/>
    <w:rsid w:val="00BF0DE0"/>
    <w:rsid w:val="00BF1FBD"/>
    <w:rsid w:val="00BF52F4"/>
    <w:rsid w:val="00BF6D60"/>
    <w:rsid w:val="00BF79B4"/>
    <w:rsid w:val="00C02558"/>
    <w:rsid w:val="00C03C59"/>
    <w:rsid w:val="00C1449A"/>
    <w:rsid w:val="00C16F95"/>
    <w:rsid w:val="00C23F89"/>
    <w:rsid w:val="00C2625E"/>
    <w:rsid w:val="00C31613"/>
    <w:rsid w:val="00C324B1"/>
    <w:rsid w:val="00C32E9F"/>
    <w:rsid w:val="00C33B7F"/>
    <w:rsid w:val="00C34F52"/>
    <w:rsid w:val="00C37545"/>
    <w:rsid w:val="00C404A8"/>
    <w:rsid w:val="00C40559"/>
    <w:rsid w:val="00C40A26"/>
    <w:rsid w:val="00C40ACB"/>
    <w:rsid w:val="00C41EEE"/>
    <w:rsid w:val="00C42C78"/>
    <w:rsid w:val="00C43B92"/>
    <w:rsid w:val="00C44795"/>
    <w:rsid w:val="00C46190"/>
    <w:rsid w:val="00C46D09"/>
    <w:rsid w:val="00C500B7"/>
    <w:rsid w:val="00C51BA4"/>
    <w:rsid w:val="00C54E79"/>
    <w:rsid w:val="00C56059"/>
    <w:rsid w:val="00C56C56"/>
    <w:rsid w:val="00C609AA"/>
    <w:rsid w:val="00C61CCD"/>
    <w:rsid w:val="00C701A8"/>
    <w:rsid w:val="00C712CC"/>
    <w:rsid w:val="00C71613"/>
    <w:rsid w:val="00C721A0"/>
    <w:rsid w:val="00C764F7"/>
    <w:rsid w:val="00C808A3"/>
    <w:rsid w:val="00C80CD6"/>
    <w:rsid w:val="00C87276"/>
    <w:rsid w:val="00C93932"/>
    <w:rsid w:val="00C943AD"/>
    <w:rsid w:val="00C95F88"/>
    <w:rsid w:val="00CA15D1"/>
    <w:rsid w:val="00CA767F"/>
    <w:rsid w:val="00CB2AD1"/>
    <w:rsid w:val="00CB2D2D"/>
    <w:rsid w:val="00CB5C3B"/>
    <w:rsid w:val="00CB5D53"/>
    <w:rsid w:val="00CB5E61"/>
    <w:rsid w:val="00CC47A4"/>
    <w:rsid w:val="00CD06C7"/>
    <w:rsid w:val="00CD139C"/>
    <w:rsid w:val="00CD359B"/>
    <w:rsid w:val="00CD3868"/>
    <w:rsid w:val="00CD5DD4"/>
    <w:rsid w:val="00CE0436"/>
    <w:rsid w:val="00CE0DE1"/>
    <w:rsid w:val="00CF0A75"/>
    <w:rsid w:val="00CF15FC"/>
    <w:rsid w:val="00CF1CD1"/>
    <w:rsid w:val="00CF4DCF"/>
    <w:rsid w:val="00CF558E"/>
    <w:rsid w:val="00D13417"/>
    <w:rsid w:val="00D1479D"/>
    <w:rsid w:val="00D14ADA"/>
    <w:rsid w:val="00D17E0D"/>
    <w:rsid w:val="00D224E9"/>
    <w:rsid w:val="00D26D5B"/>
    <w:rsid w:val="00D33CF7"/>
    <w:rsid w:val="00D33E98"/>
    <w:rsid w:val="00D3626F"/>
    <w:rsid w:val="00D41E0A"/>
    <w:rsid w:val="00D462E2"/>
    <w:rsid w:val="00D47D58"/>
    <w:rsid w:val="00D51B26"/>
    <w:rsid w:val="00D53143"/>
    <w:rsid w:val="00D53EF9"/>
    <w:rsid w:val="00D56B80"/>
    <w:rsid w:val="00D617B6"/>
    <w:rsid w:val="00D647F4"/>
    <w:rsid w:val="00D64BDC"/>
    <w:rsid w:val="00D66D22"/>
    <w:rsid w:val="00D67CDD"/>
    <w:rsid w:val="00D71943"/>
    <w:rsid w:val="00D75570"/>
    <w:rsid w:val="00D76F0F"/>
    <w:rsid w:val="00D84230"/>
    <w:rsid w:val="00D85D7C"/>
    <w:rsid w:val="00D87D1A"/>
    <w:rsid w:val="00D96A46"/>
    <w:rsid w:val="00DA1165"/>
    <w:rsid w:val="00DA1E5B"/>
    <w:rsid w:val="00DB0CC2"/>
    <w:rsid w:val="00DB1B0E"/>
    <w:rsid w:val="00DB2401"/>
    <w:rsid w:val="00DB33E6"/>
    <w:rsid w:val="00DB3A9D"/>
    <w:rsid w:val="00DC2480"/>
    <w:rsid w:val="00DC4247"/>
    <w:rsid w:val="00DC539F"/>
    <w:rsid w:val="00DC7F40"/>
    <w:rsid w:val="00DD0C39"/>
    <w:rsid w:val="00DD3228"/>
    <w:rsid w:val="00DD3632"/>
    <w:rsid w:val="00DD56A7"/>
    <w:rsid w:val="00DD5AF1"/>
    <w:rsid w:val="00DE30B5"/>
    <w:rsid w:val="00DE484D"/>
    <w:rsid w:val="00DE5FDA"/>
    <w:rsid w:val="00DE77E6"/>
    <w:rsid w:val="00DF1208"/>
    <w:rsid w:val="00DF58C8"/>
    <w:rsid w:val="00DF606A"/>
    <w:rsid w:val="00E03500"/>
    <w:rsid w:val="00E03792"/>
    <w:rsid w:val="00E1039A"/>
    <w:rsid w:val="00E10A28"/>
    <w:rsid w:val="00E2159B"/>
    <w:rsid w:val="00E249CB"/>
    <w:rsid w:val="00E312D7"/>
    <w:rsid w:val="00E32EF1"/>
    <w:rsid w:val="00E345F3"/>
    <w:rsid w:val="00E35878"/>
    <w:rsid w:val="00E35D3C"/>
    <w:rsid w:val="00E37F1E"/>
    <w:rsid w:val="00E42486"/>
    <w:rsid w:val="00E43F4C"/>
    <w:rsid w:val="00E501E1"/>
    <w:rsid w:val="00E52754"/>
    <w:rsid w:val="00E5359F"/>
    <w:rsid w:val="00E5362E"/>
    <w:rsid w:val="00E5739E"/>
    <w:rsid w:val="00E575DC"/>
    <w:rsid w:val="00E604BB"/>
    <w:rsid w:val="00E60DA9"/>
    <w:rsid w:val="00E61AC8"/>
    <w:rsid w:val="00E622C5"/>
    <w:rsid w:val="00E63E6F"/>
    <w:rsid w:val="00E6468A"/>
    <w:rsid w:val="00E65F59"/>
    <w:rsid w:val="00E66775"/>
    <w:rsid w:val="00E667EC"/>
    <w:rsid w:val="00E7151C"/>
    <w:rsid w:val="00E71A7F"/>
    <w:rsid w:val="00E72F36"/>
    <w:rsid w:val="00E747AE"/>
    <w:rsid w:val="00E77395"/>
    <w:rsid w:val="00E77AD8"/>
    <w:rsid w:val="00E81D95"/>
    <w:rsid w:val="00E87C3E"/>
    <w:rsid w:val="00E90BCF"/>
    <w:rsid w:val="00EA6ED2"/>
    <w:rsid w:val="00EB2E46"/>
    <w:rsid w:val="00EB3871"/>
    <w:rsid w:val="00EB4F87"/>
    <w:rsid w:val="00EB5857"/>
    <w:rsid w:val="00EC24A6"/>
    <w:rsid w:val="00EC3067"/>
    <w:rsid w:val="00EC4FFB"/>
    <w:rsid w:val="00EC75B5"/>
    <w:rsid w:val="00ED026D"/>
    <w:rsid w:val="00ED0728"/>
    <w:rsid w:val="00ED43AC"/>
    <w:rsid w:val="00ED54F2"/>
    <w:rsid w:val="00ED550A"/>
    <w:rsid w:val="00EE0401"/>
    <w:rsid w:val="00EE1DF5"/>
    <w:rsid w:val="00EE3444"/>
    <w:rsid w:val="00EE6D30"/>
    <w:rsid w:val="00EF1BF2"/>
    <w:rsid w:val="00EF2173"/>
    <w:rsid w:val="00EF3068"/>
    <w:rsid w:val="00EF76CF"/>
    <w:rsid w:val="00EF7C04"/>
    <w:rsid w:val="00F00717"/>
    <w:rsid w:val="00F02A29"/>
    <w:rsid w:val="00F035AD"/>
    <w:rsid w:val="00F03F15"/>
    <w:rsid w:val="00F04CCC"/>
    <w:rsid w:val="00F0628A"/>
    <w:rsid w:val="00F10FB6"/>
    <w:rsid w:val="00F1512C"/>
    <w:rsid w:val="00F15217"/>
    <w:rsid w:val="00F16023"/>
    <w:rsid w:val="00F17E82"/>
    <w:rsid w:val="00F222C0"/>
    <w:rsid w:val="00F25DE8"/>
    <w:rsid w:val="00F26C4A"/>
    <w:rsid w:val="00F27195"/>
    <w:rsid w:val="00F34924"/>
    <w:rsid w:val="00F357B0"/>
    <w:rsid w:val="00F408E8"/>
    <w:rsid w:val="00F45039"/>
    <w:rsid w:val="00F4550B"/>
    <w:rsid w:val="00F51F5D"/>
    <w:rsid w:val="00F52640"/>
    <w:rsid w:val="00F5430C"/>
    <w:rsid w:val="00F55CD9"/>
    <w:rsid w:val="00F56914"/>
    <w:rsid w:val="00F56B7F"/>
    <w:rsid w:val="00F57FA0"/>
    <w:rsid w:val="00F6413E"/>
    <w:rsid w:val="00F66460"/>
    <w:rsid w:val="00F70E9E"/>
    <w:rsid w:val="00F7113A"/>
    <w:rsid w:val="00F71C4E"/>
    <w:rsid w:val="00F7411F"/>
    <w:rsid w:val="00F74BC2"/>
    <w:rsid w:val="00F74EA3"/>
    <w:rsid w:val="00F75191"/>
    <w:rsid w:val="00F766BF"/>
    <w:rsid w:val="00F816D3"/>
    <w:rsid w:val="00F83504"/>
    <w:rsid w:val="00F849C2"/>
    <w:rsid w:val="00F92154"/>
    <w:rsid w:val="00F966C5"/>
    <w:rsid w:val="00FA7115"/>
    <w:rsid w:val="00FA7FF9"/>
    <w:rsid w:val="00FB0B68"/>
    <w:rsid w:val="00FB19A9"/>
    <w:rsid w:val="00FB1C64"/>
    <w:rsid w:val="00FC34EA"/>
    <w:rsid w:val="00FC40A9"/>
    <w:rsid w:val="00FC6FE3"/>
    <w:rsid w:val="00FD12F4"/>
    <w:rsid w:val="00FD13DD"/>
    <w:rsid w:val="00FD1D32"/>
    <w:rsid w:val="00FD2995"/>
    <w:rsid w:val="00FD2AF6"/>
    <w:rsid w:val="00FD3E71"/>
    <w:rsid w:val="00FD7A78"/>
    <w:rsid w:val="00FE0152"/>
    <w:rsid w:val="00FE286D"/>
    <w:rsid w:val="00FE3004"/>
    <w:rsid w:val="00FE30CC"/>
    <w:rsid w:val="00FE3B61"/>
    <w:rsid w:val="00FE53DE"/>
    <w:rsid w:val="00FE5E37"/>
    <w:rsid w:val="00FE6223"/>
    <w:rsid w:val="00FE78C4"/>
    <w:rsid w:val="00FE7DFE"/>
    <w:rsid w:val="00FF159A"/>
    <w:rsid w:val="00FF1639"/>
    <w:rsid w:val="00FF20DD"/>
    <w:rsid w:val="00FF2A24"/>
    <w:rsid w:val="00FF38EA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55FFE"/>
  <w15:docId w15:val="{547A15C9-7B0A-4F76-960D-9979C73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A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F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1BF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F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F2"/>
  </w:style>
  <w:style w:type="table" w:styleId="Tabela-Siatka">
    <w:name w:val="Table Grid"/>
    <w:basedOn w:val="Standardowy"/>
    <w:uiPriority w:val="59"/>
    <w:rsid w:val="00EF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A5E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D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3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3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43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E21"/>
    <w:rPr>
      <w:color w:val="0000FF" w:themeColor="hyperlink"/>
      <w:u w:val="single"/>
    </w:rPr>
  </w:style>
  <w:style w:type="paragraph" w:customStyle="1" w:styleId="Default">
    <w:name w:val="Default"/>
    <w:rsid w:val="00F55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55D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kapitzlistZnak">
    <w:name w:val="Akapit z listą Znak"/>
    <w:link w:val="Akapitzlist"/>
    <w:uiPriority w:val="34"/>
    <w:locked/>
    <w:rsid w:val="003A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8F58-72AC-4FD8-8973-5BAC9506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7</Pages>
  <Words>2244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Dziemidow</dc:creator>
  <cp:lastModifiedBy>Izabela Dźwil</cp:lastModifiedBy>
  <cp:revision>844</cp:revision>
  <cp:lastPrinted>2018-10-16T06:16:00Z</cp:lastPrinted>
  <dcterms:created xsi:type="dcterms:W3CDTF">2016-03-24T13:10:00Z</dcterms:created>
  <dcterms:modified xsi:type="dcterms:W3CDTF">2018-10-16T06:34:00Z</dcterms:modified>
</cp:coreProperties>
</file>