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ACE" w:rsidRDefault="00631E50" w:rsidP="00631E50">
      <w:pPr>
        <w:spacing w:line="240" w:lineRule="auto"/>
        <w:rPr>
          <w:rFonts w:asciiTheme="minorHAnsi" w:hAnsiTheme="minorHAnsi" w:cs="Arial"/>
          <w:sz w:val="24"/>
        </w:rPr>
      </w:pPr>
      <w:r w:rsidRPr="00684D3A">
        <w:rPr>
          <w:rFonts w:asciiTheme="minorHAnsi" w:hAnsiTheme="minorHAnsi" w:cs="Arial"/>
          <w:sz w:val="24"/>
        </w:rPr>
        <w:t xml:space="preserve">Załącznik nr 1: </w:t>
      </w:r>
      <w:r w:rsidR="00522422" w:rsidRPr="00522422">
        <w:rPr>
          <w:rFonts w:asciiTheme="minorHAnsi" w:hAnsiTheme="minorHAnsi" w:cs="Arial"/>
          <w:sz w:val="24"/>
        </w:rPr>
        <w:t xml:space="preserve">Opis Działania 2.1 Osi II RPOWP na lata 2014-2020 stanowiący wyciąg </w:t>
      </w:r>
      <w:r w:rsidR="00522422">
        <w:rPr>
          <w:rFonts w:asciiTheme="minorHAnsi" w:hAnsiTheme="minorHAnsi" w:cs="Arial"/>
          <w:sz w:val="24"/>
        </w:rPr>
        <w:br/>
      </w:r>
      <w:r w:rsidR="00522422" w:rsidRPr="00522422">
        <w:rPr>
          <w:rFonts w:asciiTheme="minorHAnsi" w:hAnsiTheme="minorHAnsi" w:cs="Arial"/>
          <w:sz w:val="24"/>
        </w:rPr>
        <w:t>z SZOOP RPOWP na lata 2014-2020</w:t>
      </w:r>
      <w:r w:rsidRPr="00684D3A">
        <w:rPr>
          <w:rFonts w:asciiTheme="minorHAnsi" w:hAnsiTheme="minorHAnsi" w:cs="Arial"/>
          <w:sz w:val="24"/>
        </w:rPr>
        <w:t xml:space="preserve"> </w:t>
      </w:r>
      <w:r w:rsidR="00684D3A" w:rsidRPr="00684D3A">
        <w:rPr>
          <w:rFonts w:asciiTheme="minorHAnsi" w:hAnsiTheme="minorHAnsi" w:cs="Arial"/>
          <w:sz w:val="24"/>
        </w:rPr>
        <w:t>– projekty pozakonkursowe PUP</w:t>
      </w:r>
    </w:p>
    <w:p w:rsidR="00226B11" w:rsidRDefault="00226B11" w:rsidP="00631E50">
      <w:pPr>
        <w:spacing w:line="240" w:lineRule="auto"/>
        <w:rPr>
          <w:rFonts w:asciiTheme="minorHAnsi" w:hAnsiTheme="minorHAnsi" w:cs="Arial"/>
          <w:sz w:val="24"/>
        </w:rPr>
      </w:pPr>
    </w:p>
    <w:p w:rsidR="00226B11" w:rsidRDefault="00226B11" w:rsidP="00631E50">
      <w:pPr>
        <w:spacing w:line="240" w:lineRule="auto"/>
        <w:rPr>
          <w:rFonts w:asciiTheme="minorHAnsi" w:hAnsiTheme="minorHAnsi" w:cs="Arial"/>
          <w:sz w:val="24"/>
        </w:rPr>
      </w:pPr>
      <w:bookmarkStart w:id="0" w:name="_GoBack"/>
      <w:bookmarkEnd w:id="0"/>
    </w:p>
    <w:p w:rsidR="00EF33EE" w:rsidRPr="00226B11" w:rsidRDefault="00226B11" w:rsidP="00226B11">
      <w:pPr>
        <w:spacing w:line="240" w:lineRule="auto"/>
        <w:rPr>
          <w:rFonts w:ascii="Times New Roman" w:eastAsia="Calibri" w:hAnsi="Times New Roman"/>
          <w:color w:val="000000"/>
          <w:szCs w:val="22"/>
          <w:lang w:eastAsia="en-US"/>
        </w:rPr>
      </w:pPr>
      <w:r w:rsidRPr="00226B11">
        <w:rPr>
          <w:rFonts w:ascii="Times New Roman" w:eastAsia="Calibri" w:hAnsi="Times New Roman"/>
          <w:b/>
          <w:noProof/>
          <w:szCs w:val="22"/>
        </w:rPr>
        <w:drawing>
          <wp:inline distT="0" distB="0" distL="0" distR="0">
            <wp:extent cx="5943600" cy="523875"/>
            <wp:effectExtent l="0" t="0" r="0" b="9525"/>
            <wp:docPr id="2" name="Obraz 2" descr="C:\Users\pawluszewicz_dorota\Desktop\zmiany wizualizacji\Rpo\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pawluszewicz_dorota\Desktop\zmiany wizualizacji\Rpo\Zestaw_logotypow_monochrom_GRAY_EF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EF33EE" w:rsidRDefault="00EF33EE" w:rsidP="000C5B94">
      <w:pPr>
        <w:tabs>
          <w:tab w:val="left" w:pos="426"/>
        </w:tabs>
        <w:spacing w:line="240" w:lineRule="auto"/>
        <w:rPr>
          <w:rFonts w:cs="Arial"/>
          <w:b/>
          <w:sz w:val="20"/>
          <w:szCs w:val="20"/>
        </w:rPr>
      </w:pPr>
    </w:p>
    <w:p w:rsidR="00226B11" w:rsidRDefault="00226B11" w:rsidP="000C5B94">
      <w:pPr>
        <w:tabs>
          <w:tab w:val="left" w:pos="426"/>
        </w:tabs>
        <w:spacing w:line="240" w:lineRule="auto"/>
        <w:rPr>
          <w:rFonts w:cs="Arial"/>
          <w:b/>
          <w:sz w:val="20"/>
          <w:szCs w:val="20"/>
        </w:rPr>
      </w:pPr>
    </w:p>
    <w:p w:rsidR="00B55B66" w:rsidRDefault="000C5B94" w:rsidP="00F5222F">
      <w:pPr>
        <w:tabs>
          <w:tab w:val="left" w:pos="426"/>
        </w:tabs>
        <w:spacing w:before="120" w:line="240" w:lineRule="auto"/>
        <w:rPr>
          <w:rFonts w:cs="Arial"/>
          <w:sz w:val="20"/>
          <w:szCs w:val="20"/>
        </w:rPr>
      </w:pPr>
      <w:r w:rsidRPr="000C5B94">
        <w:rPr>
          <w:rFonts w:cs="Arial"/>
          <w:b/>
          <w:sz w:val="20"/>
          <w:szCs w:val="20"/>
        </w:rPr>
        <w:t>1.</w:t>
      </w:r>
      <w:r>
        <w:rPr>
          <w:rFonts w:cs="Arial"/>
          <w:sz w:val="20"/>
          <w:szCs w:val="20"/>
        </w:rPr>
        <w:t xml:space="preserve">   </w:t>
      </w:r>
      <w:r w:rsidR="00B55B66" w:rsidRPr="00727BAA">
        <w:rPr>
          <w:rFonts w:cs="Arial"/>
          <w:sz w:val="20"/>
          <w:szCs w:val="20"/>
        </w:rPr>
        <w:t>Numer i nazwa osi priorytetowej</w:t>
      </w:r>
    </w:p>
    <w:p w:rsidR="00B55B66" w:rsidRPr="00F5222F" w:rsidRDefault="00B55B66" w:rsidP="00F5222F">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line="240" w:lineRule="auto"/>
        <w:rPr>
          <w:b/>
        </w:rPr>
      </w:pPr>
      <w:bookmarkStart w:id="1" w:name="_Toc419410089"/>
      <w:r w:rsidRPr="00F5222F">
        <w:rPr>
          <w:b/>
        </w:rPr>
        <w:t>OŚ PRIORYTETOWA II. PRZEDSIĘBIORCZOŚĆ I AKTYWNOŚĆ ZAWODOWA</w:t>
      </w:r>
      <w:bookmarkEnd w:id="1"/>
    </w:p>
    <w:p w:rsidR="00B55B66" w:rsidRDefault="00B55B66" w:rsidP="00F5222F">
      <w:pPr>
        <w:numPr>
          <w:ilvl w:val="0"/>
          <w:numId w:val="6"/>
        </w:numPr>
        <w:suppressAutoHyphens/>
        <w:spacing w:before="120" w:line="240" w:lineRule="auto"/>
        <w:jc w:val="left"/>
        <w:rPr>
          <w:rFonts w:cs="Arial"/>
          <w:sz w:val="20"/>
          <w:szCs w:val="20"/>
        </w:rPr>
      </w:pPr>
      <w:r w:rsidRPr="00727BAA">
        <w:rPr>
          <w:rFonts w:cs="Arial"/>
          <w:sz w:val="20"/>
          <w:szCs w:val="20"/>
        </w:rPr>
        <w:t xml:space="preserve">Cele szczegółowe osi priorytetowej </w:t>
      </w:r>
    </w:p>
    <w:p w:rsidR="00EF33EE" w:rsidRPr="00EF33EE" w:rsidRDefault="00EF33EE" w:rsidP="00EF33EE">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b/>
          <w:sz w:val="20"/>
          <w:szCs w:val="20"/>
        </w:rPr>
      </w:pPr>
      <w:r w:rsidRPr="00EF33EE">
        <w:rPr>
          <w:rFonts w:cs="Arial"/>
          <w:b/>
          <w:sz w:val="20"/>
          <w:szCs w:val="20"/>
        </w:rPr>
        <w:t>Wzrost przedsiębiorczości oraz wzrost poziomu aktywności zawodowej mieszkańców regionu</w:t>
      </w:r>
    </w:p>
    <w:p w:rsidR="00EF33EE" w:rsidRPr="00EF33EE" w:rsidRDefault="00EF33EE" w:rsidP="00EF33EE">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b/>
          <w:sz w:val="20"/>
          <w:szCs w:val="20"/>
        </w:rPr>
      </w:pPr>
      <w:r w:rsidRPr="00EF33EE">
        <w:rPr>
          <w:rFonts w:cs="Arial"/>
          <w:sz w:val="20"/>
          <w:szCs w:val="20"/>
        </w:rPr>
        <w:t xml:space="preserve">Działania zaproponowane w ramach osi priorytetowej II służą podniesieniu poziomu aktywności zawodowej oraz zdolności do zatrudnienia. Wspieranie przejścia od bezrobocia do zatrudnienia ma pomóc osobom będącym w najtrudniejszej sytuacji na rynku pracy w uzyskaniu zatrudnienia. Dla umożliwienia podjęcia zatrudnienia lub powrotu na rynek pracy niezbędne są przedsięwzięcia mające ułatwić godzenie życia zawodowego i prywatnego, poprawiające szanse na zatrudnienie osób, które pełnią funkcje opiekuńcze. Ponadto, zapewnia się działania ukierunkowane na tworzenie nowych miejsc pracy oraz rozwój przedsiębiorczości. Służą one podejmowaniu zatrudnienia, w tym także pracy na własny rachunek. Oferowane kompleksowe wsparcie zdecydowanie zwiększa przeżywalność nowopowstałych przedsiębiorstw. W celu lepszego przystosowania pracowników, przedsiębiorców i przedsiębiorstw do zmian na otwartym rynku planowane są usługi rozwojowe dedykowane mikro, małym i średnim przedsiębiorstwom. Możliwość elastycznego dostosowania się przedsiębiorstwa do potrzeb regionalnej gospodarki skutkuje wzrostem jego konkurencyjności, co w konsekwencji ugruntowuje już istniejące miejsca pracy i zachęca do tworzenia nowych miejsc pracy. Natomiast programy typu </w:t>
      </w:r>
      <w:proofErr w:type="spellStart"/>
      <w:r w:rsidRPr="00EF33EE">
        <w:rPr>
          <w:rFonts w:cs="Arial"/>
          <w:sz w:val="20"/>
          <w:szCs w:val="20"/>
        </w:rPr>
        <w:t>outplacement</w:t>
      </w:r>
      <w:proofErr w:type="spellEnd"/>
      <w:r w:rsidRPr="00EF33EE">
        <w:rPr>
          <w:rFonts w:cs="Arial"/>
          <w:sz w:val="20"/>
          <w:szCs w:val="20"/>
        </w:rPr>
        <w:t xml:space="preserve"> zapewnią wsparcie osobom zwalnianym z przyczyn dotyczących zakładu pracy. W ramach uzupełnienia powyższych działań, w odpowiedzi na zmiany demograficzne, przewiduje się przedsięwzięcia skupione na przedłużeniu wieku aktywności zawodowej, które poprzez poprawę zdrowia osób pracujących, eliminację czynników zagrażających zdrowiu oraz ułatwienie powrotu do aktywności zawodowej zwiększają szanse na bycie zatrudnionym.</w:t>
      </w:r>
    </w:p>
    <w:p w:rsidR="00EF33EE" w:rsidRPr="00EF33EE" w:rsidRDefault="00EF33EE" w:rsidP="00EF33EE">
      <w:pPr>
        <w:rPr>
          <w:sz w:val="20"/>
          <w:szCs w:val="20"/>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6403"/>
      </w:tblGrid>
      <w:tr w:rsidR="00EF33EE" w:rsidRPr="00EF33EE" w:rsidTr="003A7C9D">
        <w:trPr>
          <w:trHeight w:val="293"/>
        </w:trPr>
        <w:tc>
          <w:tcPr>
            <w:tcW w:w="1462" w:type="pct"/>
            <w:shd w:val="clear" w:color="auto" w:fill="auto"/>
          </w:tcPr>
          <w:p w:rsidR="00EF33EE" w:rsidRPr="00EF33EE" w:rsidRDefault="00EF33EE" w:rsidP="00EF33EE">
            <w:pPr>
              <w:numPr>
                <w:ilvl w:val="0"/>
                <w:numId w:val="6"/>
              </w:numPr>
              <w:tabs>
                <w:tab w:val="num" w:pos="900"/>
              </w:tabs>
              <w:suppressAutoHyphens/>
              <w:spacing w:before="40" w:after="40" w:line="240" w:lineRule="auto"/>
              <w:ind w:left="357" w:hanging="357"/>
              <w:jc w:val="left"/>
              <w:rPr>
                <w:rFonts w:cs="Arial"/>
                <w:sz w:val="20"/>
                <w:szCs w:val="20"/>
              </w:rPr>
            </w:pPr>
            <w:r w:rsidRPr="00EF33EE">
              <w:rPr>
                <w:rFonts w:cs="Arial"/>
                <w:sz w:val="20"/>
                <w:szCs w:val="20"/>
              </w:rPr>
              <w:t>Fundusz</w:t>
            </w:r>
          </w:p>
        </w:tc>
        <w:tc>
          <w:tcPr>
            <w:tcW w:w="3538" w:type="pct"/>
            <w:shd w:val="clear" w:color="auto" w:fill="auto"/>
            <w:vAlign w:val="center"/>
          </w:tcPr>
          <w:p w:rsidR="00EF33EE" w:rsidRPr="00EF33EE" w:rsidRDefault="00EF33EE" w:rsidP="00EF33EE">
            <w:pPr>
              <w:spacing w:before="40" w:after="40"/>
              <w:jc w:val="left"/>
              <w:rPr>
                <w:rFonts w:cs="Arial"/>
                <w:sz w:val="20"/>
                <w:szCs w:val="20"/>
              </w:rPr>
            </w:pPr>
            <w:r w:rsidRPr="00EF33EE">
              <w:rPr>
                <w:rFonts w:cs="Arial"/>
                <w:sz w:val="20"/>
                <w:szCs w:val="20"/>
              </w:rPr>
              <w:t>Europejski Fundusz Społeczny – 84 088 663 EUR</w:t>
            </w:r>
          </w:p>
        </w:tc>
      </w:tr>
      <w:tr w:rsidR="00EF33EE" w:rsidRPr="00EF33EE" w:rsidTr="003A7C9D">
        <w:trPr>
          <w:trHeight w:val="20"/>
        </w:trPr>
        <w:tc>
          <w:tcPr>
            <w:tcW w:w="1462" w:type="pct"/>
            <w:shd w:val="clear" w:color="auto" w:fill="auto"/>
          </w:tcPr>
          <w:p w:rsidR="00EF33EE" w:rsidRPr="00EF33EE" w:rsidRDefault="00EF33EE" w:rsidP="00EF33EE">
            <w:pPr>
              <w:numPr>
                <w:ilvl w:val="0"/>
                <w:numId w:val="6"/>
              </w:numPr>
              <w:tabs>
                <w:tab w:val="num" w:pos="900"/>
              </w:tabs>
              <w:suppressAutoHyphens/>
              <w:spacing w:before="40" w:after="40" w:line="240" w:lineRule="auto"/>
              <w:jc w:val="left"/>
              <w:rPr>
                <w:rFonts w:cs="Arial"/>
                <w:sz w:val="20"/>
                <w:szCs w:val="20"/>
              </w:rPr>
            </w:pPr>
            <w:r w:rsidRPr="00EF33EE">
              <w:rPr>
                <w:rFonts w:cs="Arial"/>
                <w:sz w:val="20"/>
                <w:szCs w:val="20"/>
              </w:rPr>
              <w:t>Instytucja zarządzająca</w:t>
            </w:r>
          </w:p>
        </w:tc>
        <w:tc>
          <w:tcPr>
            <w:tcW w:w="3538"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Zarząd Województwa Podlaskiego</w:t>
            </w:r>
          </w:p>
        </w:tc>
      </w:tr>
    </w:tbl>
    <w:p w:rsidR="00EF33EE" w:rsidRPr="00EF33EE" w:rsidRDefault="00EF33EE" w:rsidP="00EF33EE">
      <w:pPr>
        <w:spacing w:before="240" w:line="240" w:lineRule="auto"/>
        <w:rPr>
          <w:b/>
          <w:sz w:val="16"/>
          <w:u w:val="single"/>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71"/>
        <w:gridCol w:w="5343"/>
      </w:tblGrid>
      <w:tr w:rsidR="00EF33EE" w:rsidRPr="00EF33EE" w:rsidTr="003A7C9D">
        <w:tc>
          <w:tcPr>
            <w:tcW w:w="5000" w:type="pct"/>
            <w:gridSpan w:val="3"/>
            <w:shd w:val="clear" w:color="auto" w:fill="E6E6E6"/>
            <w:vAlign w:val="center"/>
          </w:tcPr>
          <w:p w:rsidR="00EF33EE" w:rsidRPr="00EF33EE" w:rsidRDefault="00EF33EE" w:rsidP="00EF33EE">
            <w:pPr>
              <w:spacing w:before="40" w:after="40" w:line="240" w:lineRule="auto"/>
              <w:jc w:val="center"/>
              <w:rPr>
                <w:rFonts w:cs="Arial"/>
                <w:b/>
                <w:sz w:val="20"/>
                <w:szCs w:val="20"/>
              </w:rPr>
            </w:pPr>
            <w:r w:rsidRPr="00EF33EE">
              <w:rPr>
                <w:rFonts w:cs="Arial"/>
                <w:b/>
                <w:sz w:val="20"/>
                <w:szCs w:val="20"/>
              </w:rPr>
              <w:t>OPIS DZIAŁANIA I PODDZIAŁAŃ</w:t>
            </w:r>
          </w:p>
        </w:tc>
      </w:tr>
      <w:tr w:rsidR="00EF33EE" w:rsidRPr="00EF33EE" w:rsidTr="003A7C9D">
        <w:tc>
          <w:tcPr>
            <w:tcW w:w="1235" w:type="pct"/>
            <w:shd w:val="clear" w:color="auto" w:fill="auto"/>
          </w:tcPr>
          <w:p w:rsidR="00EF33EE" w:rsidRPr="00EF33EE" w:rsidRDefault="00EF33EE" w:rsidP="00EF33EE">
            <w:pPr>
              <w:numPr>
                <w:ilvl w:val="0"/>
                <w:numId w:val="2"/>
              </w:numPr>
              <w:suppressAutoHyphens/>
              <w:spacing w:before="40" w:after="40" w:line="240" w:lineRule="auto"/>
              <w:jc w:val="left"/>
              <w:rPr>
                <w:rFonts w:cs="Arial"/>
                <w:sz w:val="20"/>
                <w:szCs w:val="20"/>
              </w:rPr>
            </w:pPr>
            <w:r w:rsidRPr="00EF33EE">
              <w:rPr>
                <w:rFonts w:cs="Arial"/>
                <w:sz w:val="20"/>
                <w:szCs w:val="20"/>
              </w:rPr>
              <w:t xml:space="preserve">Nazwa działania/ poddziałania </w:t>
            </w:r>
            <w:r w:rsidRPr="00EF33EE">
              <w:rPr>
                <w:rFonts w:cs="Arial"/>
                <w:sz w:val="20"/>
                <w:szCs w:val="20"/>
              </w:rPr>
              <w:br/>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rPr>
                <w:rFonts w:cs="Arial"/>
                <w:b/>
                <w:sz w:val="20"/>
                <w:szCs w:val="20"/>
              </w:rPr>
            </w:pPr>
            <w:r w:rsidRPr="00EF33EE">
              <w:rPr>
                <w:rFonts w:cs="Arial"/>
                <w:b/>
                <w:sz w:val="20"/>
                <w:szCs w:val="20"/>
              </w:rPr>
              <w:t>Zwiększanie zdolności zatrudnieniowej osób pozostających bez zatrudnienia oraz osób poszukujących pracy, przy wykorzystaniu aktywnej polityki rynku pracy oraz wspieranie mobilności zasobów pracy</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Cel/e szczegółowy/e działania/ poddziałania</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rPr>
                <w:rFonts w:cs="Arial"/>
                <w:b/>
                <w:sz w:val="20"/>
                <w:szCs w:val="20"/>
              </w:rPr>
            </w:pPr>
            <w:r w:rsidRPr="00EF33EE">
              <w:rPr>
                <w:rFonts w:cs="Arial"/>
                <w:b/>
                <w:sz w:val="20"/>
                <w:szCs w:val="20"/>
              </w:rPr>
              <w:t>Zwiększenie aktywności i mobilności zawodowej oraz zdolności do zatrudnienia osób bezrobotnych, poszukujących pracy i nieaktywnych zawodowo</w:t>
            </w:r>
          </w:p>
          <w:p w:rsidR="00EF33EE" w:rsidRPr="00EF33EE" w:rsidRDefault="00EF33EE" w:rsidP="00EF33EE">
            <w:pPr>
              <w:autoSpaceDE w:val="0"/>
              <w:autoSpaceDN w:val="0"/>
              <w:adjustRightInd w:val="0"/>
              <w:spacing w:line="240" w:lineRule="auto"/>
              <w:rPr>
                <w:rFonts w:cs="Arial"/>
                <w:sz w:val="20"/>
                <w:szCs w:val="20"/>
              </w:rPr>
            </w:pPr>
            <w:r w:rsidRPr="00EF33EE">
              <w:rPr>
                <w:rFonts w:cs="Arial"/>
                <w:sz w:val="20"/>
                <w:szCs w:val="20"/>
              </w:rPr>
              <w:t xml:space="preserve">W województwie podlaskim występuje niedostosowanie podaży i popytu na pracę. Niedostosowana struktura zawodowo-kompetencyjna w regionie przyczynia się do niezagospodarowania zasobów pracy. Tendencja spadkowa liczby pracujących utrzymuje się pomimo obserwowanych niekorzystnych procesów demograficznych. Dlatego należy położyć nacisk na wykorzystanie aktualnych rezerw i zapobieganie ich utracie. Osoby bezrobotne, należące do I </w:t>
            </w:r>
            <w:proofErr w:type="spellStart"/>
            <w:r w:rsidRPr="00EF33EE">
              <w:rPr>
                <w:rFonts w:cs="Arial"/>
                <w:sz w:val="20"/>
                <w:szCs w:val="20"/>
              </w:rPr>
              <w:t>i</w:t>
            </w:r>
            <w:proofErr w:type="spellEnd"/>
            <w:r w:rsidRPr="00EF33EE">
              <w:rPr>
                <w:rFonts w:cs="Arial"/>
                <w:sz w:val="20"/>
                <w:szCs w:val="20"/>
              </w:rPr>
              <w:t xml:space="preserve"> II profilu pomocy, poszukujące pracy i nieaktywne zawodowo </w:t>
            </w:r>
            <w:r w:rsidRPr="00EF33EE">
              <w:rPr>
                <w:rFonts w:cs="Arial"/>
                <w:sz w:val="20"/>
                <w:szCs w:val="20"/>
              </w:rPr>
              <w:lastRenderedPageBreak/>
              <w:t xml:space="preserve">potrzebują kompleksowego wsparcia dostosowanego do ich indywidualnych potrzeb, ale też do potrzeb rynku. Zwiększenie zdolności zatrudnieniowej, zwłaszcza osób w szczególnie trudnej sytuacji na rynku pracy, nastąpi m.in. poprzez zdiagnozowanie i określanie indywidualnych potrzeb, dostosowanie kompetencji i kwalifikacji, nabycie doświadczenia zawodowego, wzrost mobilności zawodowej oraz stworzenie optymalnych warunków do rozwoju zawodowego. Planowane działania aktywizacji zawodowej bezpośrednio przyczynią się do wzrostu liczby osób pracujących. Rezultatem podejmowanych działań zawsze będzie wzrost efektywności zatrudnieniowej, także w wyniku samozatrudnienia. </w:t>
            </w:r>
          </w:p>
          <w:p w:rsidR="00EF33EE" w:rsidRPr="00EF33EE" w:rsidRDefault="00EF33EE" w:rsidP="00EF33EE">
            <w:pPr>
              <w:autoSpaceDE w:val="0"/>
              <w:autoSpaceDN w:val="0"/>
              <w:adjustRightInd w:val="0"/>
              <w:spacing w:line="240" w:lineRule="auto"/>
              <w:rPr>
                <w:rFonts w:cs="Arial"/>
                <w:sz w:val="20"/>
                <w:szCs w:val="20"/>
              </w:rPr>
            </w:pPr>
            <w:r w:rsidRPr="00EF33EE">
              <w:rPr>
                <w:rFonts w:cs="Arial"/>
                <w:sz w:val="20"/>
                <w:szCs w:val="20"/>
              </w:rPr>
              <w:t xml:space="preserve">Wsparcie osób powracających na rynek pracy po przerwie związanej z obowiązkami opiekuńczymi, polegające na udostępnieniu usługi opieki nad dzieckiem do lat trzech, jest przewidziane w ramach działania 2.2, natomiast w zakresie działań aktywizacyjnych – w ramach niniejszego działania. </w:t>
            </w:r>
          </w:p>
          <w:p w:rsidR="00EF33EE" w:rsidRPr="00EF33EE" w:rsidRDefault="00EF33EE" w:rsidP="00EF33EE">
            <w:pPr>
              <w:spacing w:before="40" w:after="40" w:line="240" w:lineRule="auto"/>
              <w:rPr>
                <w:rFonts w:cs="Arial"/>
                <w:sz w:val="20"/>
                <w:szCs w:val="20"/>
              </w:rPr>
            </w:pPr>
            <w:r w:rsidRPr="00EF33EE">
              <w:rPr>
                <w:rFonts w:cs="Arial"/>
                <w:sz w:val="20"/>
                <w:szCs w:val="20"/>
              </w:rPr>
              <w:t xml:space="preserve">Wsparcie dla osób należących do III profilu pomocy, które są zagrożone wykluczeniem społecznym oraz wymagają w pierwszej kolejności wsparcia w zakresie integracji społecznej będzie realizowane w ramach CT 9. </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lastRenderedPageBreak/>
              <w:t xml:space="preserve">Lista wskaźników rezultatu bezpośredniego </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numPr>
                <w:ilvl w:val="0"/>
                <w:numId w:val="3"/>
              </w:numPr>
              <w:tabs>
                <w:tab w:val="left" w:pos="284"/>
                <w:tab w:val="left" w:pos="318"/>
              </w:tabs>
              <w:spacing w:before="40" w:after="40" w:line="240" w:lineRule="auto"/>
              <w:ind w:left="284" w:hanging="284"/>
              <w:rPr>
                <w:rFonts w:cs="Arial"/>
                <w:sz w:val="20"/>
                <w:szCs w:val="20"/>
                <w:lang w:eastAsia="en-US"/>
              </w:rPr>
            </w:pPr>
            <w:r w:rsidRPr="00EF33EE">
              <w:rPr>
                <w:rFonts w:cs="Arial"/>
                <w:sz w:val="20"/>
                <w:szCs w:val="20"/>
                <w:lang w:eastAsia="en-US"/>
              </w:rPr>
              <w:t xml:space="preserve"> Liczba utworzonych miejsc pracy w ramach udzielonych z EFS środków na podjęcie działalności gospodarczej;</w:t>
            </w:r>
          </w:p>
          <w:p w:rsidR="00EF33EE" w:rsidRPr="00EF33EE" w:rsidRDefault="00EF33EE" w:rsidP="00EF33EE">
            <w:pPr>
              <w:numPr>
                <w:ilvl w:val="0"/>
                <w:numId w:val="3"/>
              </w:numPr>
              <w:tabs>
                <w:tab w:val="left" w:pos="284"/>
                <w:tab w:val="left" w:pos="318"/>
              </w:tabs>
              <w:spacing w:before="40" w:after="40" w:line="240" w:lineRule="auto"/>
              <w:ind w:left="284" w:hanging="284"/>
              <w:rPr>
                <w:rFonts w:cs="Arial"/>
                <w:sz w:val="20"/>
                <w:szCs w:val="20"/>
              </w:rPr>
            </w:pPr>
            <w:r w:rsidRPr="00EF33EE">
              <w:rPr>
                <w:rFonts w:cs="Arial"/>
                <w:sz w:val="20"/>
                <w:szCs w:val="20"/>
                <w:lang w:eastAsia="en-US"/>
              </w:rPr>
              <w:t>Liczba pracujących, łącznie z pracującymi na własny rachunek, po opuszczeniu programu (CI);</w:t>
            </w:r>
          </w:p>
          <w:p w:rsidR="00EF33EE" w:rsidRPr="00EF33EE" w:rsidRDefault="00EF33EE" w:rsidP="00EF33EE">
            <w:pPr>
              <w:numPr>
                <w:ilvl w:val="0"/>
                <w:numId w:val="3"/>
              </w:numPr>
              <w:tabs>
                <w:tab w:val="left" w:pos="284"/>
                <w:tab w:val="left" w:pos="318"/>
              </w:tabs>
              <w:spacing w:before="40" w:after="40" w:line="240" w:lineRule="auto"/>
              <w:ind w:left="284" w:hanging="284"/>
              <w:rPr>
                <w:rFonts w:cs="Arial"/>
                <w:sz w:val="20"/>
                <w:szCs w:val="20"/>
              </w:rPr>
            </w:pPr>
            <w:r w:rsidRPr="00EF33EE">
              <w:rPr>
                <w:rFonts w:cs="Arial"/>
                <w:sz w:val="20"/>
                <w:szCs w:val="20"/>
                <w:lang w:eastAsia="en-US"/>
              </w:rPr>
              <w:t>Liczba osób, które uzyskały kwalifikacje po opuszczeniu programu (CI);</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Lista wskaźników produktu</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numPr>
                <w:ilvl w:val="0"/>
                <w:numId w:val="5"/>
              </w:numPr>
              <w:tabs>
                <w:tab w:val="left" w:pos="176"/>
                <w:tab w:val="left" w:pos="318"/>
              </w:tabs>
              <w:spacing w:before="40" w:after="40" w:line="240" w:lineRule="auto"/>
              <w:contextualSpacing/>
              <w:rPr>
                <w:rFonts w:cs="Arial"/>
                <w:sz w:val="20"/>
                <w:szCs w:val="20"/>
                <w:lang w:eastAsia="en-US"/>
              </w:rPr>
            </w:pPr>
            <w:r w:rsidRPr="00EF33EE">
              <w:rPr>
                <w:rFonts w:cs="Arial"/>
                <w:sz w:val="20"/>
                <w:szCs w:val="20"/>
                <w:lang w:eastAsia="en-US"/>
              </w:rPr>
              <w:t>Liczba osób z niepełnosprawnościami objętych wsparciem w programie (CI);</w:t>
            </w:r>
          </w:p>
          <w:p w:rsidR="00EF33EE" w:rsidRPr="00EF33EE" w:rsidRDefault="00EF33EE" w:rsidP="00EF33EE">
            <w:pPr>
              <w:numPr>
                <w:ilvl w:val="0"/>
                <w:numId w:val="5"/>
              </w:numPr>
              <w:tabs>
                <w:tab w:val="left" w:pos="284"/>
                <w:tab w:val="left" w:pos="318"/>
              </w:tabs>
              <w:spacing w:before="40" w:after="40" w:line="240" w:lineRule="auto"/>
              <w:ind w:left="284" w:hanging="284"/>
              <w:rPr>
                <w:rFonts w:cs="Arial"/>
                <w:sz w:val="20"/>
                <w:szCs w:val="20"/>
                <w:lang w:eastAsia="en-US"/>
              </w:rPr>
            </w:pPr>
            <w:r w:rsidRPr="00EF33EE">
              <w:rPr>
                <w:rFonts w:cs="Arial"/>
                <w:sz w:val="20"/>
                <w:szCs w:val="20"/>
                <w:lang w:eastAsia="en-US"/>
              </w:rPr>
              <w:t>Liczba osób długotrwale bezrobotnych objętych wsparciem w programie (CI);</w:t>
            </w:r>
          </w:p>
          <w:p w:rsidR="00EF33EE" w:rsidRPr="00EF33EE" w:rsidRDefault="00EF33EE" w:rsidP="00EF33EE">
            <w:pPr>
              <w:numPr>
                <w:ilvl w:val="0"/>
                <w:numId w:val="5"/>
              </w:numPr>
              <w:tabs>
                <w:tab w:val="left" w:pos="284"/>
                <w:tab w:val="left" w:pos="318"/>
              </w:tabs>
              <w:spacing w:before="40" w:after="40" w:line="240" w:lineRule="auto"/>
              <w:ind w:left="284" w:hanging="284"/>
              <w:rPr>
                <w:rFonts w:cs="Arial"/>
                <w:sz w:val="20"/>
                <w:szCs w:val="20"/>
                <w:lang w:eastAsia="en-US"/>
              </w:rPr>
            </w:pPr>
            <w:r w:rsidRPr="00EF33EE">
              <w:rPr>
                <w:rFonts w:cs="Arial"/>
                <w:sz w:val="20"/>
                <w:szCs w:val="20"/>
                <w:lang w:eastAsia="en-US"/>
              </w:rPr>
              <w:t>Liczba osób w wieku 50 lat i więcej objętych wsparciem w programie;</w:t>
            </w:r>
          </w:p>
          <w:p w:rsidR="00EF33EE" w:rsidRPr="00EF33EE" w:rsidRDefault="00EF33EE" w:rsidP="00EF33EE">
            <w:pPr>
              <w:numPr>
                <w:ilvl w:val="0"/>
                <w:numId w:val="5"/>
              </w:numPr>
              <w:tabs>
                <w:tab w:val="left" w:pos="284"/>
                <w:tab w:val="left" w:pos="318"/>
              </w:tabs>
              <w:spacing w:before="40" w:after="40" w:line="240" w:lineRule="auto"/>
              <w:ind w:left="284" w:hanging="284"/>
              <w:rPr>
                <w:rFonts w:cs="Arial"/>
                <w:sz w:val="20"/>
                <w:szCs w:val="20"/>
                <w:lang w:eastAsia="en-US"/>
              </w:rPr>
            </w:pPr>
            <w:r w:rsidRPr="00EF33EE">
              <w:rPr>
                <w:rFonts w:cs="Arial"/>
                <w:sz w:val="20"/>
                <w:szCs w:val="20"/>
                <w:lang w:eastAsia="en-US"/>
              </w:rPr>
              <w:t>Liczba osób, które otrzymały bezzwrotne środki na podjęcie działalności gospodarczej w programie;</w:t>
            </w:r>
          </w:p>
          <w:p w:rsidR="00EF33EE" w:rsidRPr="00EF33EE" w:rsidRDefault="00EF33EE" w:rsidP="00EF33EE">
            <w:pPr>
              <w:numPr>
                <w:ilvl w:val="0"/>
                <w:numId w:val="5"/>
              </w:numPr>
              <w:tabs>
                <w:tab w:val="left" w:pos="284"/>
                <w:tab w:val="left" w:pos="318"/>
              </w:tabs>
              <w:spacing w:before="40" w:after="40" w:line="240" w:lineRule="auto"/>
              <w:ind w:left="284" w:hanging="284"/>
              <w:rPr>
                <w:rFonts w:cs="Arial"/>
                <w:sz w:val="20"/>
                <w:szCs w:val="20"/>
                <w:lang w:eastAsia="en-US"/>
              </w:rPr>
            </w:pPr>
            <w:r w:rsidRPr="00EF33EE">
              <w:rPr>
                <w:rFonts w:cs="Arial"/>
                <w:sz w:val="20"/>
                <w:szCs w:val="20"/>
                <w:lang w:eastAsia="en-US"/>
              </w:rPr>
              <w:t>Liczba osób bezrobotnych, w tym długotrwale bezrobotnych objętych wsparciem w programie (CI);</w:t>
            </w:r>
          </w:p>
          <w:p w:rsidR="00EF33EE" w:rsidRPr="00EF33EE" w:rsidRDefault="00EF33EE" w:rsidP="00EF33EE">
            <w:pPr>
              <w:numPr>
                <w:ilvl w:val="0"/>
                <w:numId w:val="5"/>
              </w:numPr>
              <w:tabs>
                <w:tab w:val="left" w:pos="284"/>
                <w:tab w:val="left" w:pos="318"/>
              </w:tabs>
              <w:spacing w:before="40" w:after="40" w:line="240" w:lineRule="auto"/>
              <w:ind w:left="284" w:hanging="284"/>
              <w:rPr>
                <w:rFonts w:cs="Arial"/>
                <w:sz w:val="20"/>
                <w:szCs w:val="20"/>
                <w:lang w:eastAsia="en-US"/>
              </w:rPr>
            </w:pPr>
            <w:r w:rsidRPr="00EF33EE">
              <w:rPr>
                <w:rFonts w:cs="Arial"/>
                <w:sz w:val="20"/>
                <w:szCs w:val="20"/>
                <w:lang w:eastAsia="en-US"/>
              </w:rPr>
              <w:t>Liczba osób biernych zawodowo objętych wsparciem w programie (CI);</w:t>
            </w:r>
          </w:p>
          <w:p w:rsidR="00EF33EE" w:rsidRPr="00EF33EE" w:rsidRDefault="00EF33EE" w:rsidP="00EF33EE">
            <w:pPr>
              <w:numPr>
                <w:ilvl w:val="0"/>
                <w:numId w:val="5"/>
              </w:numPr>
              <w:tabs>
                <w:tab w:val="left" w:pos="284"/>
                <w:tab w:val="left" w:pos="318"/>
              </w:tabs>
              <w:spacing w:before="40" w:after="40" w:line="240" w:lineRule="auto"/>
              <w:ind w:left="284" w:hanging="284"/>
              <w:rPr>
                <w:rFonts w:cs="Arial"/>
                <w:sz w:val="20"/>
                <w:szCs w:val="20"/>
                <w:lang w:eastAsia="en-US"/>
              </w:rPr>
            </w:pPr>
            <w:r w:rsidRPr="00EF33EE">
              <w:rPr>
                <w:rFonts w:cs="Arial"/>
                <w:sz w:val="20"/>
                <w:szCs w:val="20"/>
                <w:lang w:eastAsia="en-US"/>
              </w:rPr>
              <w:t>Liczba osób o niskich kwalifikacjach objętych wsparciem w programie</w:t>
            </w:r>
            <w:r w:rsidRPr="00EF33EE">
              <w:rPr>
                <w:rFonts w:cs="Arial"/>
                <w:sz w:val="20"/>
                <w:szCs w:val="20"/>
              </w:rPr>
              <w:t>.</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 xml:space="preserve">Typy projektów </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r w:rsidRPr="00EF33EE">
              <w:rPr>
                <w:sz w:val="16"/>
                <w:szCs w:val="20"/>
                <w:vertAlign w:val="superscript"/>
              </w:rPr>
              <w:footnoteReference w:id="1"/>
            </w: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numPr>
                <w:ilvl w:val="0"/>
                <w:numId w:val="1"/>
              </w:numPr>
              <w:tabs>
                <w:tab w:val="left" w:pos="-92"/>
                <w:tab w:val="left" w:pos="0"/>
              </w:tabs>
              <w:autoSpaceDE w:val="0"/>
              <w:autoSpaceDN w:val="0"/>
              <w:adjustRightInd w:val="0"/>
              <w:spacing w:line="240" w:lineRule="auto"/>
              <w:ind w:left="192" w:hanging="284"/>
              <w:rPr>
                <w:rFonts w:cs="Arial"/>
                <w:sz w:val="20"/>
                <w:szCs w:val="20"/>
              </w:rPr>
            </w:pPr>
            <w:r w:rsidRPr="00EF33EE">
              <w:rPr>
                <w:rFonts w:cs="Arial"/>
                <w:sz w:val="20"/>
                <w:szCs w:val="20"/>
              </w:rPr>
              <w:t>Instrumenty i usługi rynku pracy obejmujące działania aktywizujące wymienione w ustawie z dnia 20 kwietnia 2004 r. o promocji zatrudnienia i instytucjach rynku pracy, z wyłączeniem robót publicznych;</w:t>
            </w:r>
          </w:p>
          <w:p w:rsidR="00EF33EE" w:rsidRPr="00EF33EE" w:rsidRDefault="00EF33EE" w:rsidP="00EF33EE">
            <w:pPr>
              <w:numPr>
                <w:ilvl w:val="0"/>
                <w:numId w:val="1"/>
              </w:numPr>
              <w:tabs>
                <w:tab w:val="left" w:pos="-92"/>
                <w:tab w:val="left" w:pos="0"/>
              </w:tabs>
              <w:autoSpaceDE w:val="0"/>
              <w:autoSpaceDN w:val="0"/>
              <w:adjustRightInd w:val="0"/>
              <w:spacing w:line="240" w:lineRule="auto"/>
              <w:ind w:left="192" w:hanging="284"/>
              <w:rPr>
                <w:rFonts w:cs="Arial"/>
                <w:sz w:val="20"/>
                <w:szCs w:val="20"/>
              </w:rPr>
            </w:pPr>
            <w:r w:rsidRPr="00EF33EE">
              <w:rPr>
                <w:rFonts w:cs="Arial"/>
                <w:sz w:val="20"/>
                <w:szCs w:val="20"/>
              </w:rPr>
              <w:t xml:space="preserve">Programy podnoszące aktywność zawodową i zdolność do zatrudnienia, obejmujące m.in. następujące działania aktywizujące: </w:t>
            </w:r>
          </w:p>
          <w:p w:rsidR="00EF33EE" w:rsidRPr="00EF33EE" w:rsidRDefault="00EF33EE" w:rsidP="00EF33EE">
            <w:pPr>
              <w:numPr>
                <w:ilvl w:val="0"/>
                <w:numId w:val="11"/>
              </w:numPr>
              <w:spacing w:before="40" w:after="40" w:line="240" w:lineRule="auto"/>
              <w:contextualSpacing/>
              <w:rPr>
                <w:rFonts w:cs="Arial"/>
                <w:sz w:val="20"/>
                <w:szCs w:val="20"/>
              </w:rPr>
            </w:pPr>
            <w:r w:rsidRPr="00EF33EE">
              <w:rPr>
                <w:rFonts w:cs="Arial"/>
                <w:sz w:val="20"/>
                <w:szCs w:val="20"/>
              </w:rPr>
              <w:t xml:space="preserve">wsparcie psychologiczno-doradcze, </w:t>
            </w:r>
          </w:p>
          <w:p w:rsidR="00EF33EE" w:rsidRPr="00EF33EE" w:rsidRDefault="00EF33EE" w:rsidP="00EF33EE">
            <w:pPr>
              <w:numPr>
                <w:ilvl w:val="0"/>
                <w:numId w:val="11"/>
              </w:numPr>
              <w:spacing w:before="40" w:after="40" w:line="240" w:lineRule="auto"/>
              <w:contextualSpacing/>
              <w:rPr>
                <w:rFonts w:cs="Arial"/>
                <w:sz w:val="20"/>
                <w:szCs w:val="20"/>
              </w:rPr>
            </w:pPr>
            <w:r w:rsidRPr="00EF33EE">
              <w:rPr>
                <w:rFonts w:cs="Arial"/>
                <w:sz w:val="20"/>
                <w:szCs w:val="20"/>
              </w:rPr>
              <w:t xml:space="preserve">pośrednictwo pracy, </w:t>
            </w:r>
          </w:p>
          <w:p w:rsidR="00EF33EE" w:rsidRPr="00EF33EE" w:rsidRDefault="00EF33EE" w:rsidP="00EF33EE">
            <w:pPr>
              <w:numPr>
                <w:ilvl w:val="0"/>
                <w:numId w:val="11"/>
              </w:numPr>
              <w:spacing w:before="40" w:after="40" w:line="240" w:lineRule="auto"/>
              <w:contextualSpacing/>
              <w:rPr>
                <w:rFonts w:cs="Arial"/>
                <w:sz w:val="20"/>
                <w:szCs w:val="20"/>
              </w:rPr>
            </w:pPr>
            <w:r w:rsidRPr="00EF33EE">
              <w:rPr>
                <w:rFonts w:cs="Arial"/>
                <w:sz w:val="20"/>
                <w:szCs w:val="20"/>
              </w:rPr>
              <w:t xml:space="preserve">poradnictwo zawodowe, </w:t>
            </w:r>
          </w:p>
          <w:p w:rsidR="00EF33EE" w:rsidRPr="00EF33EE" w:rsidRDefault="00EF33EE" w:rsidP="00EF33EE">
            <w:pPr>
              <w:numPr>
                <w:ilvl w:val="0"/>
                <w:numId w:val="11"/>
              </w:numPr>
              <w:spacing w:before="40" w:after="40" w:line="240" w:lineRule="auto"/>
              <w:contextualSpacing/>
              <w:rPr>
                <w:rFonts w:cs="Arial"/>
                <w:sz w:val="20"/>
                <w:szCs w:val="20"/>
              </w:rPr>
            </w:pPr>
            <w:r w:rsidRPr="00EF33EE">
              <w:rPr>
                <w:rFonts w:cs="Arial"/>
                <w:sz w:val="20"/>
                <w:szCs w:val="20"/>
              </w:rPr>
              <w:t>warsztaty oraz szkolenia, w tym z zakresu technik aktywnego poszukiwania pracy i ich praktycznego zastosowania,</w:t>
            </w:r>
          </w:p>
          <w:p w:rsidR="00EF33EE" w:rsidRPr="00EF33EE" w:rsidRDefault="00EF33EE" w:rsidP="00EF33EE">
            <w:pPr>
              <w:numPr>
                <w:ilvl w:val="0"/>
                <w:numId w:val="11"/>
              </w:numPr>
              <w:spacing w:before="40" w:after="40" w:line="240" w:lineRule="auto"/>
              <w:contextualSpacing/>
              <w:rPr>
                <w:rFonts w:cs="Arial"/>
                <w:sz w:val="20"/>
                <w:szCs w:val="20"/>
              </w:rPr>
            </w:pPr>
            <w:r w:rsidRPr="00EF33EE">
              <w:rPr>
                <w:rFonts w:cs="Arial"/>
                <w:sz w:val="20"/>
                <w:szCs w:val="20"/>
              </w:rPr>
              <w:lastRenderedPageBreak/>
              <w:t xml:space="preserve">subsydiowanie zatrudnienia, </w:t>
            </w:r>
          </w:p>
          <w:p w:rsidR="00EF33EE" w:rsidRPr="00EF33EE" w:rsidRDefault="00EF33EE" w:rsidP="00EF33EE">
            <w:pPr>
              <w:numPr>
                <w:ilvl w:val="0"/>
                <w:numId w:val="11"/>
              </w:numPr>
              <w:spacing w:before="40" w:after="40" w:line="240" w:lineRule="auto"/>
              <w:contextualSpacing/>
              <w:rPr>
                <w:rFonts w:cs="Arial"/>
                <w:sz w:val="20"/>
                <w:szCs w:val="20"/>
              </w:rPr>
            </w:pPr>
            <w:r w:rsidRPr="00EF33EE">
              <w:rPr>
                <w:rFonts w:cs="Arial"/>
                <w:sz w:val="20"/>
                <w:szCs w:val="20"/>
              </w:rPr>
              <w:t>staże, praktyki zawodowe;</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lastRenderedPageBreak/>
              <w:t xml:space="preserve">Typ beneficjenta </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line="240" w:lineRule="auto"/>
              <w:rPr>
                <w:rFonts w:cs="Arial"/>
                <w:iCs/>
                <w:sz w:val="20"/>
                <w:szCs w:val="20"/>
              </w:rPr>
            </w:pPr>
            <w:r w:rsidRPr="00EF33EE">
              <w:rPr>
                <w:rFonts w:cs="Arial"/>
                <w:iCs/>
                <w:sz w:val="20"/>
                <w:szCs w:val="20"/>
              </w:rPr>
              <w:t xml:space="preserve">Typ projektu 1: Powiatowe Urzędy Pracy </w:t>
            </w:r>
          </w:p>
          <w:p w:rsidR="00EF33EE" w:rsidRPr="00EF33EE" w:rsidRDefault="00EF33EE" w:rsidP="00EF33EE">
            <w:pPr>
              <w:spacing w:line="240" w:lineRule="auto"/>
              <w:rPr>
                <w:rFonts w:cs="Arial"/>
                <w:iCs/>
                <w:sz w:val="20"/>
                <w:szCs w:val="20"/>
              </w:rPr>
            </w:pPr>
            <w:r w:rsidRPr="00EF33EE">
              <w:rPr>
                <w:rFonts w:cs="Arial"/>
                <w:iCs/>
                <w:sz w:val="20"/>
                <w:szCs w:val="20"/>
              </w:rPr>
              <w:t>Typ projektu 2: Wszystkie podmioty – z wyłączeniem osób fizycznych (nie dotyczy osób prowadzących działalność gospodarczą lub oświatową na podstawie przepisów odrębnych)</w:t>
            </w:r>
          </w:p>
          <w:p w:rsidR="00EF33EE" w:rsidRPr="00EF33EE" w:rsidRDefault="00EF33EE" w:rsidP="00EF33EE">
            <w:pPr>
              <w:spacing w:before="30" w:after="30" w:line="240" w:lineRule="auto"/>
              <w:rPr>
                <w:rFonts w:cs="Arial"/>
                <w:iCs/>
                <w:sz w:val="20"/>
                <w:szCs w:val="20"/>
              </w:rPr>
            </w:pPr>
            <w:r w:rsidRPr="00EF33EE">
              <w:rPr>
                <w:rFonts w:cs="Arial"/>
                <w:sz w:val="18"/>
                <w:szCs w:val="20"/>
              </w:rPr>
              <w:t xml:space="preserve">Forma prawna beneficjenta musi być zgodna z klasyfikacją form prawnych podmiotów gospodarki narodowej określonych w § 7 </w:t>
            </w:r>
            <w:r w:rsidRPr="00EF33EE">
              <w:rPr>
                <w:rFonts w:cs="Arial"/>
                <w:sz w:val="18"/>
                <w:szCs w:val="18"/>
              </w:rPr>
              <w:t>Rozporządzenia Rady Ministrów z dnia 30 listopada 2015 r. w sprawie sposobu i metodologii prowadzenia i aktualizacji krajowego rejestru urzędowego podmiotów gospodarki narodowej, wzorów wniosków, ankiet i zaświadczeń (Dz.U. 2015 poz. 2009)</w:t>
            </w:r>
            <w:r w:rsidRPr="00EF33EE">
              <w:rPr>
                <w:rFonts w:cs="Arial"/>
                <w:sz w:val="18"/>
                <w:szCs w:val="20"/>
              </w:rPr>
              <w:t>.</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 xml:space="preserve">Grupa docelowa/ ostateczni odbiorcy wsparcia </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line="240" w:lineRule="auto"/>
              <w:rPr>
                <w:rFonts w:cs="Arial"/>
                <w:sz w:val="20"/>
                <w:szCs w:val="20"/>
              </w:rPr>
            </w:pPr>
            <w:r w:rsidRPr="00EF33EE">
              <w:rPr>
                <w:rFonts w:cs="Arial"/>
                <w:sz w:val="20"/>
                <w:szCs w:val="20"/>
              </w:rPr>
              <w:t xml:space="preserve">Typ </w:t>
            </w:r>
            <w:r w:rsidRPr="00EF33EE">
              <w:rPr>
                <w:rFonts w:cs="Arial"/>
                <w:iCs/>
                <w:sz w:val="20"/>
                <w:szCs w:val="20"/>
              </w:rPr>
              <w:t xml:space="preserve">projektu </w:t>
            </w:r>
            <w:r w:rsidRPr="00EF33EE">
              <w:rPr>
                <w:rFonts w:cs="Arial"/>
                <w:sz w:val="20"/>
                <w:szCs w:val="20"/>
              </w:rPr>
              <w:t xml:space="preserve">1: Osoby od 30 roku życia pozostające bez pracy zarejestrowane w powiatowym urzędzie pracy jako osoby bezrobotne zakwalifikowane do profilu pomocy I (tzw. bezrobotni aktywni) lub profilu pomocy II (tzw. wymagający wsparcia), należące co najmniej do jednej z poniższych grup: </w:t>
            </w:r>
          </w:p>
          <w:p w:rsidR="00EF33EE" w:rsidRPr="00EF33EE" w:rsidRDefault="00EF33EE" w:rsidP="00EF33EE">
            <w:pPr>
              <w:numPr>
                <w:ilvl w:val="0"/>
                <w:numId w:val="9"/>
              </w:numPr>
              <w:spacing w:line="240" w:lineRule="auto"/>
              <w:contextualSpacing/>
              <w:rPr>
                <w:rFonts w:cs="Arial"/>
                <w:sz w:val="20"/>
                <w:szCs w:val="20"/>
              </w:rPr>
            </w:pPr>
            <w:r w:rsidRPr="00EF33EE">
              <w:rPr>
                <w:rFonts w:cs="Arial"/>
                <w:sz w:val="20"/>
                <w:szCs w:val="20"/>
              </w:rPr>
              <w:t>osoby powyżej 50 roku życia,</w:t>
            </w:r>
          </w:p>
          <w:p w:rsidR="00EF33EE" w:rsidRPr="00EF33EE" w:rsidRDefault="00EF33EE" w:rsidP="00EF33EE">
            <w:pPr>
              <w:numPr>
                <w:ilvl w:val="0"/>
                <w:numId w:val="9"/>
              </w:numPr>
              <w:spacing w:line="240" w:lineRule="auto"/>
              <w:contextualSpacing/>
              <w:rPr>
                <w:rFonts w:cs="Arial"/>
                <w:sz w:val="20"/>
                <w:szCs w:val="20"/>
              </w:rPr>
            </w:pPr>
            <w:r w:rsidRPr="00EF33EE">
              <w:rPr>
                <w:rFonts w:cs="Arial"/>
                <w:sz w:val="20"/>
                <w:szCs w:val="20"/>
              </w:rPr>
              <w:t>kobiety,</w:t>
            </w:r>
          </w:p>
          <w:p w:rsidR="00EF33EE" w:rsidRPr="00EF33EE" w:rsidRDefault="00EF33EE" w:rsidP="00EF33EE">
            <w:pPr>
              <w:numPr>
                <w:ilvl w:val="0"/>
                <w:numId w:val="9"/>
              </w:numPr>
              <w:spacing w:line="240" w:lineRule="auto"/>
              <w:contextualSpacing/>
              <w:rPr>
                <w:rFonts w:cs="Arial"/>
                <w:sz w:val="20"/>
                <w:szCs w:val="20"/>
              </w:rPr>
            </w:pPr>
            <w:r w:rsidRPr="00EF33EE">
              <w:rPr>
                <w:rFonts w:cs="Arial"/>
                <w:sz w:val="20"/>
                <w:szCs w:val="20"/>
              </w:rPr>
              <w:t>osoby z niepełnosprawnościami,</w:t>
            </w:r>
          </w:p>
          <w:p w:rsidR="00EF33EE" w:rsidRPr="00EF33EE" w:rsidRDefault="00EF33EE" w:rsidP="00EF33EE">
            <w:pPr>
              <w:numPr>
                <w:ilvl w:val="0"/>
                <w:numId w:val="9"/>
              </w:numPr>
              <w:spacing w:line="240" w:lineRule="auto"/>
              <w:contextualSpacing/>
              <w:rPr>
                <w:rFonts w:cs="Arial"/>
                <w:sz w:val="20"/>
                <w:szCs w:val="20"/>
              </w:rPr>
            </w:pPr>
            <w:r w:rsidRPr="00EF33EE">
              <w:rPr>
                <w:rFonts w:cs="Arial"/>
                <w:sz w:val="20"/>
                <w:szCs w:val="20"/>
              </w:rPr>
              <w:t>osoby długotrwale bezrobotne,</w:t>
            </w:r>
          </w:p>
          <w:p w:rsidR="00EF33EE" w:rsidRPr="00EF33EE" w:rsidRDefault="00EF33EE" w:rsidP="00EF33EE">
            <w:pPr>
              <w:numPr>
                <w:ilvl w:val="0"/>
                <w:numId w:val="9"/>
              </w:numPr>
              <w:spacing w:line="240" w:lineRule="auto"/>
              <w:contextualSpacing/>
              <w:rPr>
                <w:rFonts w:cs="Arial"/>
                <w:sz w:val="20"/>
                <w:szCs w:val="20"/>
              </w:rPr>
            </w:pPr>
            <w:r w:rsidRPr="00EF33EE">
              <w:rPr>
                <w:rFonts w:cs="Arial"/>
                <w:sz w:val="20"/>
                <w:szCs w:val="20"/>
              </w:rPr>
              <w:t>osoby o niskich kwalifikacjach.</w:t>
            </w:r>
          </w:p>
          <w:p w:rsidR="00EF33EE" w:rsidRPr="00EF33EE" w:rsidRDefault="00EF33EE" w:rsidP="00EF33EE">
            <w:pPr>
              <w:spacing w:line="240" w:lineRule="auto"/>
              <w:ind w:left="192"/>
              <w:rPr>
                <w:rFonts w:cs="Arial"/>
                <w:sz w:val="20"/>
                <w:szCs w:val="20"/>
              </w:rPr>
            </w:pPr>
          </w:p>
          <w:p w:rsidR="00EF33EE" w:rsidRPr="00EF33EE" w:rsidRDefault="00EF33EE" w:rsidP="00EF33EE">
            <w:pPr>
              <w:spacing w:line="240" w:lineRule="auto"/>
              <w:rPr>
                <w:rFonts w:cs="Arial"/>
                <w:sz w:val="20"/>
                <w:szCs w:val="20"/>
              </w:rPr>
            </w:pPr>
            <w:r w:rsidRPr="00EF33EE">
              <w:rPr>
                <w:rFonts w:cs="Arial"/>
                <w:sz w:val="20"/>
                <w:szCs w:val="20"/>
              </w:rPr>
              <w:t xml:space="preserve">Typ </w:t>
            </w:r>
            <w:r w:rsidRPr="00EF33EE">
              <w:rPr>
                <w:rFonts w:cs="Arial"/>
                <w:iCs/>
                <w:sz w:val="20"/>
                <w:szCs w:val="20"/>
              </w:rPr>
              <w:t xml:space="preserve">projektu </w:t>
            </w:r>
            <w:r w:rsidRPr="00EF33EE">
              <w:rPr>
                <w:rFonts w:cs="Arial"/>
                <w:sz w:val="20"/>
                <w:szCs w:val="20"/>
              </w:rPr>
              <w:t xml:space="preserve">2: Osoby od 30 roku życia pozostające bez zatrudnienia [osoby bezrobotne, w tym zarejestrowane jako osoby bezrobotne w powiatowym urzędzie pracy (przy czym w przypadku osób bezrobotnych zarejestrowanych w PUP należą one do I </w:t>
            </w:r>
            <w:proofErr w:type="spellStart"/>
            <w:r w:rsidRPr="00EF33EE">
              <w:rPr>
                <w:rFonts w:cs="Arial"/>
                <w:sz w:val="20"/>
                <w:szCs w:val="20"/>
              </w:rPr>
              <w:t>i</w:t>
            </w:r>
            <w:proofErr w:type="spellEnd"/>
            <w:r w:rsidRPr="00EF33EE">
              <w:rPr>
                <w:rFonts w:cs="Arial"/>
                <w:sz w:val="20"/>
                <w:szCs w:val="20"/>
              </w:rPr>
              <w:t xml:space="preserve"> II profilu pomocy), bierne zawodowo], należące co najmniej do jednej z poniższych grup:</w:t>
            </w:r>
          </w:p>
          <w:p w:rsidR="00EF33EE" w:rsidRPr="00EF33EE" w:rsidRDefault="00EF33EE" w:rsidP="00EF33EE">
            <w:pPr>
              <w:numPr>
                <w:ilvl w:val="0"/>
                <w:numId w:val="10"/>
              </w:numPr>
              <w:spacing w:line="240" w:lineRule="auto"/>
              <w:contextualSpacing/>
              <w:rPr>
                <w:rFonts w:cs="Arial"/>
                <w:sz w:val="20"/>
                <w:szCs w:val="20"/>
              </w:rPr>
            </w:pPr>
            <w:r w:rsidRPr="00EF33EE">
              <w:rPr>
                <w:rFonts w:cs="Arial"/>
                <w:sz w:val="20"/>
                <w:szCs w:val="20"/>
              </w:rPr>
              <w:t>osoby powyżej 50 roku życia</w:t>
            </w:r>
          </w:p>
          <w:p w:rsidR="00EF33EE" w:rsidRPr="00EF33EE" w:rsidRDefault="00EF33EE" w:rsidP="00EF33EE">
            <w:pPr>
              <w:numPr>
                <w:ilvl w:val="0"/>
                <w:numId w:val="10"/>
              </w:numPr>
              <w:spacing w:line="240" w:lineRule="auto"/>
              <w:contextualSpacing/>
              <w:rPr>
                <w:rFonts w:cs="Arial"/>
                <w:sz w:val="20"/>
                <w:szCs w:val="20"/>
              </w:rPr>
            </w:pPr>
            <w:r w:rsidRPr="00EF33EE">
              <w:rPr>
                <w:rFonts w:cs="Arial"/>
                <w:sz w:val="20"/>
                <w:szCs w:val="20"/>
              </w:rPr>
              <w:t>kobiety,</w:t>
            </w:r>
          </w:p>
          <w:p w:rsidR="00EF33EE" w:rsidRPr="00EF33EE" w:rsidRDefault="00EF33EE" w:rsidP="00EF33EE">
            <w:pPr>
              <w:numPr>
                <w:ilvl w:val="0"/>
                <w:numId w:val="10"/>
              </w:numPr>
              <w:spacing w:line="240" w:lineRule="auto"/>
              <w:contextualSpacing/>
              <w:rPr>
                <w:rFonts w:cs="Arial"/>
                <w:sz w:val="20"/>
                <w:szCs w:val="20"/>
              </w:rPr>
            </w:pPr>
            <w:r w:rsidRPr="00EF33EE">
              <w:rPr>
                <w:rFonts w:cs="Arial"/>
                <w:sz w:val="20"/>
                <w:szCs w:val="20"/>
              </w:rPr>
              <w:t>osoby z niepełnosprawnościami,</w:t>
            </w:r>
          </w:p>
          <w:p w:rsidR="00EF33EE" w:rsidRPr="00EF33EE" w:rsidRDefault="00EF33EE" w:rsidP="00EF33EE">
            <w:pPr>
              <w:numPr>
                <w:ilvl w:val="0"/>
                <w:numId w:val="10"/>
              </w:numPr>
              <w:spacing w:line="240" w:lineRule="auto"/>
              <w:contextualSpacing/>
              <w:rPr>
                <w:rFonts w:cs="Arial"/>
                <w:sz w:val="20"/>
                <w:szCs w:val="20"/>
              </w:rPr>
            </w:pPr>
            <w:r w:rsidRPr="00EF33EE">
              <w:rPr>
                <w:rFonts w:cs="Arial"/>
                <w:sz w:val="20"/>
                <w:szCs w:val="20"/>
              </w:rPr>
              <w:t>osoby długotrwale bezrobotne,</w:t>
            </w:r>
          </w:p>
          <w:p w:rsidR="00EF33EE" w:rsidRPr="00EF33EE" w:rsidRDefault="00EF33EE" w:rsidP="00EF33EE">
            <w:pPr>
              <w:numPr>
                <w:ilvl w:val="0"/>
                <w:numId w:val="10"/>
              </w:numPr>
              <w:spacing w:line="240" w:lineRule="auto"/>
              <w:contextualSpacing/>
              <w:rPr>
                <w:rFonts w:cs="Arial"/>
                <w:sz w:val="20"/>
                <w:szCs w:val="20"/>
              </w:rPr>
            </w:pPr>
            <w:r w:rsidRPr="00EF33EE">
              <w:rPr>
                <w:rFonts w:cs="Arial"/>
                <w:sz w:val="20"/>
                <w:szCs w:val="20"/>
              </w:rPr>
              <w:t>osoby o niskich kwalifikacjach.</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Instytucja pośrednicząca</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Wojewódzki Urząd Pracy w Białymstoku</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Instytucja wdrażająca</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Nie dotyczy</w:t>
            </w:r>
          </w:p>
        </w:tc>
      </w:tr>
      <w:tr w:rsidR="00EF33EE" w:rsidRPr="00EF33EE" w:rsidTr="003A7C9D">
        <w:trPr>
          <w:trHeight w:val="1249"/>
        </w:trPr>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 xml:space="preserve">Kategoria(e) regionu(ów) </w:t>
            </w:r>
            <w:r w:rsidRPr="00EF33EE">
              <w:rPr>
                <w:rFonts w:cs="Arial"/>
                <w:sz w:val="20"/>
                <w:szCs w:val="20"/>
              </w:rPr>
              <w:br/>
              <w:t xml:space="preserve">wraz z przypisaniem </w:t>
            </w:r>
            <w:r w:rsidRPr="00EF33EE">
              <w:rPr>
                <w:rFonts w:cs="Arial"/>
                <w:sz w:val="20"/>
                <w:szCs w:val="20"/>
              </w:rPr>
              <w:br/>
              <w:t xml:space="preserve">kwot UE (EUR) </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 xml:space="preserve"> Działanie 2.1</w:t>
            </w:r>
          </w:p>
          <w:p w:rsidR="00EF33EE" w:rsidRPr="00EF33EE" w:rsidRDefault="00EF33EE" w:rsidP="00EF33EE">
            <w:pPr>
              <w:spacing w:before="40" w:after="40"/>
              <w:jc w:val="left"/>
              <w:rPr>
                <w:rFonts w:cs="Arial"/>
                <w:sz w:val="20"/>
                <w:szCs w:val="20"/>
              </w:rPr>
            </w:pPr>
          </w:p>
        </w:tc>
        <w:tc>
          <w:tcPr>
            <w:tcW w:w="2953" w:type="pct"/>
            <w:shd w:val="clear" w:color="auto" w:fill="auto"/>
          </w:tcPr>
          <w:p w:rsidR="00EF33EE" w:rsidRPr="00EF33EE" w:rsidRDefault="00EF33EE" w:rsidP="00EF33EE">
            <w:pPr>
              <w:spacing w:before="40" w:after="40"/>
              <w:jc w:val="left"/>
              <w:rPr>
                <w:rFonts w:cs="Arial"/>
                <w:sz w:val="20"/>
                <w:szCs w:val="20"/>
              </w:rPr>
            </w:pPr>
            <w:r w:rsidRPr="00EF33EE">
              <w:rPr>
                <w:rFonts w:cs="Arial"/>
                <w:sz w:val="20"/>
                <w:szCs w:val="20"/>
              </w:rPr>
              <w:t>Region słabiej rozwinięty – 35 000 000</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Mechanizmy powiązania interwencji z innymi działaniami/ poddziałaniami w ramach PO lub z innymi PO</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tabs>
                <w:tab w:val="left" w:pos="192"/>
              </w:tabs>
              <w:spacing w:line="240" w:lineRule="auto"/>
              <w:jc w:val="left"/>
              <w:rPr>
                <w:rFonts w:cs="Arial"/>
                <w:sz w:val="20"/>
                <w:szCs w:val="20"/>
              </w:rPr>
            </w:pPr>
            <w:r w:rsidRPr="00EF33EE">
              <w:rPr>
                <w:rFonts w:cs="Arial"/>
                <w:sz w:val="20"/>
                <w:szCs w:val="20"/>
              </w:rPr>
              <w:t>Nie dotyczy</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Instrumenty terytorialne</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Nie dotyczy</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 xml:space="preserve">Tryb(y) wyboru projektów </w:t>
            </w:r>
            <w:r w:rsidRPr="00EF33EE">
              <w:rPr>
                <w:rFonts w:cs="Arial"/>
                <w:sz w:val="20"/>
                <w:szCs w:val="20"/>
              </w:rPr>
              <w:br/>
              <w:t xml:space="preserve">oraz wskazanie </w:t>
            </w:r>
            <w:r w:rsidRPr="00EF33EE">
              <w:rPr>
                <w:rFonts w:cs="Arial"/>
                <w:sz w:val="20"/>
                <w:szCs w:val="20"/>
              </w:rPr>
              <w:lastRenderedPageBreak/>
              <w:t xml:space="preserve">podmiotu odpowiedzialnego za nabór i ocenę wniosków oraz przyjmowanie protestów </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lastRenderedPageBreak/>
              <w:t>Działanie 2.1</w:t>
            </w:r>
          </w:p>
          <w:p w:rsidR="00EF33EE" w:rsidRPr="00EF33EE" w:rsidRDefault="00EF33EE" w:rsidP="00EF33EE">
            <w:pPr>
              <w:spacing w:before="40" w:after="40" w:line="240" w:lineRule="auto"/>
              <w:jc w:val="left"/>
              <w:rPr>
                <w:rFonts w:cs="Arial"/>
                <w:sz w:val="20"/>
                <w:szCs w:val="20"/>
              </w:rPr>
            </w:pP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rPr>
                <w:rFonts w:cs="Arial"/>
                <w:sz w:val="20"/>
                <w:szCs w:val="20"/>
              </w:rPr>
            </w:pPr>
            <w:r w:rsidRPr="00EF33EE">
              <w:rPr>
                <w:rFonts w:cs="Arial"/>
                <w:sz w:val="20"/>
                <w:szCs w:val="20"/>
              </w:rPr>
              <w:lastRenderedPageBreak/>
              <w:t>Typ projektu 1: tryb pozakonkursowy</w:t>
            </w:r>
          </w:p>
          <w:p w:rsidR="00EF33EE" w:rsidRPr="00EF33EE" w:rsidRDefault="00EF33EE" w:rsidP="00EF33EE">
            <w:pPr>
              <w:spacing w:before="40" w:after="40" w:line="240" w:lineRule="auto"/>
              <w:rPr>
                <w:rFonts w:cs="Arial"/>
                <w:sz w:val="20"/>
                <w:szCs w:val="20"/>
              </w:rPr>
            </w:pPr>
            <w:r w:rsidRPr="00EF33EE">
              <w:rPr>
                <w:rFonts w:cs="Arial"/>
                <w:sz w:val="20"/>
                <w:szCs w:val="20"/>
              </w:rPr>
              <w:t>Typ projektu 2: tryb konkursowy</w:t>
            </w:r>
          </w:p>
          <w:p w:rsidR="00EF33EE" w:rsidRPr="00EF33EE" w:rsidRDefault="00EF33EE" w:rsidP="00EF33EE">
            <w:pPr>
              <w:spacing w:before="40" w:after="40" w:line="240" w:lineRule="auto"/>
              <w:ind w:left="360"/>
              <w:rPr>
                <w:rFonts w:cs="Arial"/>
                <w:sz w:val="20"/>
                <w:szCs w:val="20"/>
              </w:rPr>
            </w:pPr>
          </w:p>
          <w:p w:rsidR="00EF33EE" w:rsidRPr="00EF33EE" w:rsidRDefault="00EF33EE" w:rsidP="00EF33EE">
            <w:pPr>
              <w:spacing w:before="40" w:after="40" w:line="240" w:lineRule="auto"/>
              <w:rPr>
                <w:rFonts w:cs="Arial"/>
                <w:sz w:val="20"/>
                <w:szCs w:val="20"/>
              </w:rPr>
            </w:pPr>
            <w:r w:rsidRPr="00EF33EE">
              <w:rPr>
                <w:rFonts w:cs="Arial"/>
                <w:sz w:val="20"/>
                <w:szCs w:val="20"/>
              </w:rPr>
              <w:t>Podmiot odpowiedzialny za nabór i ocenę wniosków oraz przyjmowanie protestów – WUP w Białymstoku</w:t>
            </w:r>
          </w:p>
        </w:tc>
      </w:tr>
      <w:tr w:rsidR="00EF33EE" w:rsidRPr="00EF33EE" w:rsidDel="00FE3C38"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lastRenderedPageBreak/>
              <w:t>Limity i ograniczenia w realizacji projektów</w:t>
            </w:r>
          </w:p>
        </w:tc>
        <w:tc>
          <w:tcPr>
            <w:tcW w:w="813" w:type="pct"/>
            <w:shd w:val="clear" w:color="auto" w:fill="auto"/>
          </w:tcPr>
          <w:p w:rsidR="00EF33EE" w:rsidRPr="00EF33EE" w:rsidDel="00FE3C38"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Del="00FE3C38" w:rsidRDefault="00EF33EE" w:rsidP="00EF33EE">
            <w:pPr>
              <w:spacing w:before="40" w:after="40" w:line="240" w:lineRule="auto"/>
              <w:jc w:val="left"/>
              <w:rPr>
                <w:rFonts w:cs="Arial"/>
                <w:sz w:val="20"/>
                <w:szCs w:val="20"/>
              </w:rPr>
            </w:pPr>
          </w:p>
          <w:p w:rsidR="00EF33EE" w:rsidRPr="00EF33EE" w:rsidDel="00FE3C38"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Del="00FE3C38" w:rsidRDefault="00EF33EE" w:rsidP="00EF33EE">
            <w:pPr>
              <w:spacing w:before="40" w:after="40" w:line="240" w:lineRule="auto"/>
              <w:rPr>
                <w:rFonts w:cs="Arial"/>
                <w:sz w:val="20"/>
                <w:szCs w:val="20"/>
              </w:rPr>
            </w:pPr>
            <w:r w:rsidRPr="00EF33EE">
              <w:rPr>
                <w:rFonts w:cs="Arial"/>
                <w:sz w:val="20"/>
                <w:szCs w:val="20"/>
              </w:rPr>
              <w:t>Wartość zakupionych środków trwałych jako % wydatków kwalifikowalnych wraz z cross-</w:t>
            </w:r>
            <w:proofErr w:type="spellStart"/>
            <w:r w:rsidRPr="00EF33EE">
              <w:rPr>
                <w:rFonts w:cs="Arial"/>
                <w:sz w:val="20"/>
                <w:szCs w:val="20"/>
              </w:rPr>
              <w:t>financingiem</w:t>
            </w:r>
            <w:proofErr w:type="spellEnd"/>
            <w:r w:rsidRPr="00EF33EE">
              <w:rPr>
                <w:rFonts w:cs="Arial"/>
                <w:sz w:val="20"/>
                <w:szCs w:val="20"/>
              </w:rPr>
              <w:t xml:space="preserve"> nie może przekroczyć 10% alokacji na całe Działanie. </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 xml:space="preserve">Warunki i planowany zakres stosowania </w:t>
            </w:r>
            <w:r w:rsidRPr="00EF33EE">
              <w:rPr>
                <w:rFonts w:cs="Arial"/>
                <w:sz w:val="20"/>
                <w:szCs w:val="20"/>
              </w:rPr>
              <w:br/>
            </w:r>
            <w:r w:rsidRPr="00EF33EE">
              <w:rPr>
                <w:rFonts w:cs="Arial"/>
                <w:i/>
                <w:sz w:val="20"/>
                <w:szCs w:val="20"/>
              </w:rPr>
              <w:t>cross-</w:t>
            </w:r>
            <w:proofErr w:type="spellStart"/>
            <w:r w:rsidRPr="00EF33EE">
              <w:rPr>
                <w:rFonts w:cs="Arial"/>
                <w:i/>
                <w:sz w:val="20"/>
                <w:szCs w:val="20"/>
              </w:rPr>
              <w:t>financingu</w:t>
            </w:r>
            <w:proofErr w:type="spellEnd"/>
            <w:r w:rsidRPr="00EF33EE">
              <w:rPr>
                <w:rFonts w:cs="Arial"/>
                <w:sz w:val="20"/>
                <w:szCs w:val="20"/>
              </w:rPr>
              <w:t xml:space="preserve"> (%)</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Del="00FE3C38" w:rsidRDefault="00EF33EE" w:rsidP="00EF33EE">
            <w:pPr>
              <w:spacing w:before="40" w:after="40" w:line="240" w:lineRule="auto"/>
              <w:jc w:val="left"/>
              <w:rPr>
                <w:rFonts w:cs="Arial"/>
                <w:sz w:val="20"/>
                <w:szCs w:val="20"/>
              </w:rPr>
            </w:pP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Nie dotyczy</w:t>
            </w:r>
            <w:r w:rsidRPr="00EF33EE" w:rsidDel="009D2BF9">
              <w:rPr>
                <w:rFonts w:cs="Arial"/>
                <w:sz w:val="20"/>
                <w:szCs w:val="20"/>
              </w:rPr>
              <w:t xml:space="preserve"> </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Dopuszczalna maksymalna wartość zakupionych środków trwałych</w:t>
            </w:r>
            <w:r w:rsidRPr="00EF33EE">
              <w:rPr>
                <w:rFonts w:cs="Arial"/>
                <w:sz w:val="20"/>
                <w:szCs w:val="20"/>
              </w:rPr>
              <w:br/>
              <w:t>jako % wydatków kwalifikowalnych</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rPr>
                <w:rFonts w:cs="Arial"/>
                <w:sz w:val="20"/>
                <w:szCs w:val="20"/>
              </w:rPr>
            </w:pPr>
            <w:r w:rsidRPr="00EF33EE">
              <w:rPr>
                <w:rFonts w:cs="Arial"/>
                <w:sz w:val="20"/>
                <w:szCs w:val="20"/>
              </w:rPr>
              <w:t>Wartość środków trwałych zakupionych w ramach kosztów bezpośrednich wynosi maksymalnie 10% wydatków kwalifikowalnych projektu.</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 xml:space="preserve">Warunki uwzględniania dochodu w projekcie </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Nie dotyczy</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Warunki stosowania uproszczonych form rozliczania wydatków i planowany zakres systemu zaliczek</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line="240" w:lineRule="auto"/>
              <w:rPr>
                <w:rFonts w:cs="Arial"/>
                <w:sz w:val="20"/>
                <w:szCs w:val="20"/>
              </w:rPr>
            </w:pPr>
            <w:r w:rsidRPr="00EF33EE">
              <w:rPr>
                <w:rFonts w:cs="Arial"/>
                <w:sz w:val="20"/>
                <w:szCs w:val="20"/>
              </w:rPr>
              <w:t>Dofinansowanie przekazywane jest jako refundacja poniesionych i udokumentowanych wydatków kwalifikowalnych lub jako zaliczka na poczet przyszłych wydatków kwalifikowalnych. Możliwość udzielenia dofinansowania w formie zaliczki oraz stosowania uproszczonych form rozliczeń wydatków będzie rozpatrywana przez IZ RPOWP/IP. Przy określaniu zasad udzielania zaliczki oraz stosowania uproszczonych form IZ RPOWP/IP będzie kierowała się zapisami obowiązujących aktów prawnych i obowiązujących wytycznych.</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 xml:space="preserve">Pomoc publiczna </w:t>
            </w:r>
            <w:r w:rsidRPr="00EF33EE">
              <w:rPr>
                <w:rFonts w:cs="Arial"/>
                <w:sz w:val="20"/>
                <w:szCs w:val="20"/>
              </w:rPr>
              <w:br/>
              <w:t xml:space="preserve">i pomoc </w:t>
            </w:r>
            <w:r w:rsidRPr="00EF33EE">
              <w:rPr>
                <w:rFonts w:cs="Arial"/>
                <w:i/>
                <w:sz w:val="20"/>
                <w:szCs w:val="20"/>
              </w:rPr>
              <w:t xml:space="preserve">de </w:t>
            </w:r>
            <w:proofErr w:type="spellStart"/>
            <w:r w:rsidRPr="00EF33EE">
              <w:rPr>
                <w:rFonts w:cs="Arial"/>
                <w:i/>
                <w:sz w:val="20"/>
                <w:szCs w:val="20"/>
              </w:rPr>
              <w:t>minimis</w:t>
            </w:r>
            <w:proofErr w:type="spellEnd"/>
            <w:r w:rsidRPr="00EF33EE">
              <w:rPr>
                <w:rFonts w:cs="Arial"/>
                <w:sz w:val="20"/>
                <w:szCs w:val="20"/>
              </w:rPr>
              <w:br/>
              <w:t>(rodzaj i przeznaczenie pomocy, unijna lub krajowa podstawa prawna)</w:t>
            </w:r>
            <w:r w:rsidRPr="00EF33EE">
              <w:rPr>
                <w:rFonts w:cs="Arial"/>
                <w:sz w:val="20"/>
                <w:szCs w:val="20"/>
                <w:vertAlign w:val="superscript"/>
              </w:rPr>
              <w:t xml:space="preserve"> </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line="240" w:lineRule="auto"/>
              <w:rPr>
                <w:rFonts w:cs="Arial"/>
                <w:sz w:val="20"/>
                <w:szCs w:val="20"/>
              </w:rPr>
            </w:pPr>
            <w:r w:rsidRPr="00EF33EE">
              <w:rPr>
                <w:rFonts w:cs="Arial"/>
                <w:sz w:val="20"/>
                <w:szCs w:val="20"/>
              </w:rPr>
              <w:t>Typ projektu 1: rozporządzenia wykonawcze do ustawy o promocji zatrudnienia i instytucjach rynku pracy</w:t>
            </w:r>
          </w:p>
          <w:p w:rsidR="00EF33EE" w:rsidRPr="00EF33EE" w:rsidRDefault="00EF33EE" w:rsidP="00EF33EE">
            <w:pPr>
              <w:spacing w:line="240" w:lineRule="auto"/>
              <w:rPr>
                <w:rFonts w:cs="Arial"/>
                <w:sz w:val="20"/>
                <w:szCs w:val="20"/>
              </w:rPr>
            </w:pPr>
          </w:p>
          <w:p w:rsidR="00EF33EE" w:rsidRPr="00EF33EE" w:rsidRDefault="00EF33EE" w:rsidP="00EF33EE">
            <w:pPr>
              <w:spacing w:line="240" w:lineRule="auto"/>
              <w:rPr>
                <w:rFonts w:cs="Arial"/>
                <w:sz w:val="20"/>
                <w:szCs w:val="20"/>
              </w:rPr>
            </w:pPr>
            <w:r w:rsidRPr="00EF33EE">
              <w:rPr>
                <w:rFonts w:cs="Arial"/>
                <w:sz w:val="20"/>
                <w:szCs w:val="20"/>
              </w:rPr>
              <w:t xml:space="preserve">Typ projektu 2: </w:t>
            </w:r>
          </w:p>
          <w:p w:rsidR="00EF33EE" w:rsidRPr="00EF33EE" w:rsidRDefault="00EF33EE" w:rsidP="00EF33EE">
            <w:pPr>
              <w:spacing w:line="240" w:lineRule="auto"/>
              <w:rPr>
                <w:rFonts w:cs="Arial"/>
                <w:sz w:val="20"/>
                <w:szCs w:val="20"/>
              </w:rPr>
            </w:pPr>
            <w:r w:rsidRPr="00EF33EE">
              <w:rPr>
                <w:rFonts w:cs="Arial"/>
                <w:sz w:val="20"/>
                <w:szCs w:val="20"/>
              </w:rPr>
              <w:t xml:space="preserve">Rozporządzenie Ministra Infrastruktury i Rozwoju z dnia 2 lipca 2015 r. w sprawie udzielania pomocy de </w:t>
            </w:r>
            <w:proofErr w:type="spellStart"/>
            <w:r w:rsidRPr="00EF33EE">
              <w:rPr>
                <w:rFonts w:cs="Arial"/>
                <w:sz w:val="20"/>
                <w:szCs w:val="20"/>
              </w:rPr>
              <w:t>minimis</w:t>
            </w:r>
            <w:proofErr w:type="spellEnd"/>
            <w:r w:rsidRPr="00EF33EE">
              <w:rPr>
                <w:rFonts w:cs="Arial"/>
                <w:sz w:val="20"/>
                <w:szCs w:val="20"/>
              </w:rPr>
              <w:t xml:space="preserve"> oraz pomocy publicznej w ramach programów operacyjnych finansowanych z Europejskiego Funduszu Społecznego na lata 2014-2020 (Dz. </w:t>
            </w:r>
            <w:r w:rsidRPr="00EF33EE">
              <w:rPr>
                <w:rFonts w:eastAsia="Calibri" w:cs="Arial"/>
                <w:sz w:val="20"/>
                <w:szCs w:val="20"/>
                <w:lang w:eastAsia="en-US"/>
              </w:rPr>
              <w:t xml:space="preserve">U. poz. </w:t>
            </w:r>
            <w:r w:rsidRPr="00EF33EE">
              <w:rPr>
                <w:rFonts w:cs="Arial"/>
                <w:sz w:val="20"/>
                <w:szCs w:val="20"/>
              </w:rPr>
              <w:t xml:space="preserve">1073) </w:t>
            </w:r>
          </w:p>
          <w:p w:rsidR="00EF33EE" w:rsidRPr="00EF33EE" w:rsidRDefault="00EF33EE" w:rsidP="00EF33EE">
            <w:pPr>
              <w:spacing w:line="240" w:lineRule="auto"/>
              <w:rPr>
                <w:rFonts w:cs="Arial"/>
                <w:sz w:val="20"/>
                <w:szCs w:val="20"/>
              </w:rPr>
            </w:pPr>
            <w:r w:rsidRPr="00EF33EE">
              <w:rPr>
                <w:rFonts w:cs="Arial"/>
                <w:sz w:val="20"/>
                <w:szCs w:val="20"/>
              </w:rPr>
              <w:t xml:space="preserve">(na podstawie Rozporządzenia Komisji (UE) nr 1407/2013 z dnia 18 grudnia 2013 r. w sprawie stosowania art. 107 i 108 Traktatu o funkcjonowaniu Unii Europejskiej do pomocy </w:t>
            </w:r>
            <w:r w:rsidRPr="00EF33EE">
              <w:rPr>
                <w:rFonts w:cs="Arial"/>
                <w:i/>
                <w:sz w:val="20"/>
                <w:szCs w:val="20"/>
              </w:rPr>
              <w:t xml:space="preserve">de </w:t>
            </w:r>
            <w:proofErr w:type="spellStart"/>
            <w:r w:rsidRPr="00EF33EE">
              <w:rPr>
                <w:rFonts w:cs="Arial"/>
                <w:i/>
                <w:sz w:val="20"/>
                <w:szCs w:val="20"/>
              </w:rPr>
              <w:t>minimis</w:t>
            </w:r>
            <w:proofErr w:type="spellEnd"/>
            <w:r w:rsidRPr="00EF33EE">
              <w:rPr>
                <w:rFonts w:cs="Arial"/>
                <w:sz w:val="20"/>
                <w:szCs w:val="20"/>
              </w:rPr>
              <w:t xml:space="preserve"> oraz Rozporządzenia Komisji (UE) nr 651/2014 z dnia 17 czerwca 2014 r. uznającego niektóre rodzaje pomocy za zgodne z rynkiem wewnętrznym w zastosowaniu art. 107 i 108 Traktatu).</w:t>
            </w:r>
          </w:p>
          <w:p w:rsidR="00EF33EE" w:rsidRPr="00EF33EE" w:rsidRDefault="00EF33EE" w:rsidP="00EF33EE">
            <w:pPr>
              <w:spacing w:line="240" w:lineRule="auto"/>
              <w:rPr>
                <w:rFonts w:cs="Arial"/>
                <w:sz w:val="20"/>
                <w:szCs w:val="20"/>
              </w:rPr>
            </w:pPr>
          </w:p>
          <w:p w:rsidR="00EF33EE" w:rsidRPr="00EF33EE" w:rsidRDefault="00EF33EE" w:rsidP="00EF33EE">
            <w:pPr>
              <w:spacing w:line="240" w:lineRule="auto"/>
              <w:rPr>
                <w:rFonts w:cs="Arial"/>
                <w:sz w:val="20"/>
                <w:szCs w:val="20"/>
              </w:rPr>
            </w:pPr>
            <w:r w:rsidRPr="00EF33EE">
              <w:rPr>
                <w:rFonts w:cs="Arial"/>
                <w:sz w:val="20"/>
                <w:szCs w:val="20"/>
              </w:rPr>
              <w:t xml:space="preserve">Pomoc </w:t>
            </w:r>
            <w:r w:rsidRPr="00EF33EE">
              <w:rPr>
                <w:rFonts w:cs="Arial"/>
                <w:i/>
                <w:sz w:val="20"/>
                <w:szCs w:val="20"/>
              </w:rPr>
              <w:t xml:space="preserve">de </w:t>
            </w:r>
            <w:proofErr w:type="spellStart"/>
            <w:r w:rsidRPr="00EF33EE">
              <w:rPr>
                <w:rFonts w:cs="Arial"/>
                <w:i/>
                <w:sz w:val="20"/>
                <w:szCs w:val="20"/>
              </w:rPr>
              <w:t>minimis</w:t>
            </w:r>
            <w:proofErr w:type="spellEnd"/>
            <w:r w:rsidRPr="00EF33EE">
              <w:rPr>
                <w:rFonts w:cs="Arial"/>
                <w:sz w:val="20"/>
                <w:szCs w:val="20"/>
              </w:rPr>
              <w:t>, w tym m.in. na:</w:t>
            </w:r>
          </w:p>
          <w:p w:rsidR="00EF33EE" w:rsidRPr="00EF33EE" w:rsidRDefault="00EF33EE" w:rsidP="00EF33EE">
            <w:pPr>
              <w:numPr>
                <w:ilvl w:val="0"/>
                <w:numId w:val="8"/>
              </w:numPr>
              <w:tabs>
                <w:tab w:val="left" w:pos="176"/>
              </w:tabs>
              <w:spacing w:line="240" w:lineRule="auto"/>
              <w:ind w:left="418" w:hanging="283"/>
              <w:rPr>
                <w:rFonts w:cs="Arial"/>
                <w:sz w:val="20"/>
                <w:szCs w:val="20"/>
              </w:rPr>
            </w:pPr>
            <w:r w:rsidRPr="00EF33EE">
              <w:rPr>
                <w:rFonts w:cs="Arial"/>
                <w:sz w:val="20"/>
                <w:szCs w:val="20"/>
              </w:rPr>
              <w:t>subsydiowanie zatrudnienia pracowników znajdujących się w szczególnie niekorzystnej sytuacji, pracowników znajdujących się w bardzo niekorzystnej sytuacji oraz pracowników niepełnosprawnych,</w:t>
            </w:r>
          </w:p>
          <w:p w:rsidR="00EF33EE" w:rsidRPr="00EF33EE" w:rsidRDefault="00EF33EE" w:rsidP="00EF33EE">
            <w:pPr>
              <w:numPr>
                <w:ilvl w:val="0"/>
                <w:numId w:val="8"/>
              </w:numPr>
              <w:tabs>
                <w:tab w:val="left" w:pos="176"/>
              </w:tabs>
              <w:spacing w:line="240" w:lineRule="auto"/>
              <w:ind w:left="418" w:hanging="283"/>
              <w:rPr>
                <w:rFonts w:cs="Arial"/>
                <w:sz w:val="20"/>
                <w:szCs w:val="20"/>
              </w:rPr>
            </w:pPr>
            <w:r w:rsidRPr="00EF33EE">
              <w:rPr>
                <w:rFonts w:cs="Arial"/>
                <w:sz w:val="20"/>
                <w:szCs w:val="20"/>
              </w:rPr>
              <w:t>doposażenie lub wyposażenie stanowiska pracy,</w:t>
            </w:r>
          </w:p>
          <w:p w:rsidR="00EF33EE" w:rsidRPr="00EF33EE" w:rsidRDefault="00EF33EE" w:rsidP="00EF33EE">
            <w:pPr>
              <w:numPr>
                <w:ilvl w:val="0"/>
                <w:numId w:val="8"/>
              </w:numPr>
              <w:tabs>
                <w:tab w:val="left" w:pos="176"/>
              </w:tabs>
              <w:spacing w:line="240" w:lineRule="auto"/>
              <w:ind w:left="418" w:hanging="283"/>
              <w:rPr>
                <w:rFonts w:cs="Arial"/>
                <w:sz w:val="20"/>
                <w:szCs w:val="20"/>
              </w:rPr>
            </w:pPr>
            <w:r w:rsidRPr="00EF33EE">
              <w:rPr>
                <w:rFonts w:cs="Arial"/>
                <w:sz w:val="20"/>
                <w:szCs w:val="20"/>
              </w:rPr>
              <w:t>bezzwrotną pomoc finansową na rozpoczęcie działalności gospodarczej.</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lastRenderedPageBreak/>
              <w:t xml:space="preserve">Maksymalny </w:t>
            </w:r>
            <w:r w:rsidRPr="00EF33EE">
              <w:rPr>
                <w:rFonts w:cs="Arial"/>
                <w:sz w:val="20"/>
                <w:szCs w:val="20"/>
              </w:rPr>
              <w:br/>
              <w:t xml:space="preserve">% poziom dofinansowania UE wydatków kwalifikowalnych </w:t>
            </w:r>
            <w:r w:rsidRPr="00EF33EE">
              <w:rPr>
                <w:rFonts w:cs="Arial"/>
                <w:sz w:val="20"/>
                <w:szCs w:val="20"/>
              </w:rPr>
              <w:br/>
              <w:t>na poziomie projektu</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85%</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 xml:space="preserve">Maksymalny </w:t>
            </w:r>
            <w:r w:rsidRPr="00EF33EE">
              <w:rPr>
                <w:rFonts w:cs="Arial"/>
                <w:sz w:val="20"/>
                <w:szCs w:val="20"/>
              </w:rPr>
              <w:br/>
              <w:t xml:space="preserve">% poziom dofinansowania całkowitego wydatków kwalifikowalnych </w:t>
            </w:r>
            <w:r w:rsidRPr="00EF33EE">
              <w:rPr>
                <w:rFonts w:cs="Arial"/>
                <w:sz w:val="20"/>
                <w:szCs w:val="20"/>
              </w:rPr>
              <w:br/>
              <w:t xml:space="preserve">na poziomie projektu </w:t>
            </w:r>
            <w:r w:rsidRPr="00EF33EE">
              <w:rPr>
                <w:rFonts w:cs="Arial"/>
                <w:sz w:val="20"/>
                <w:szCs w:val="20"/>
              </w:rPr>
              <w:br/>
            </w:r>
            <w:r w:rsidRPr="00EF33EE">
              <w:rPr>
                <w:rFonts w:cs="Arial"/>
                <w:sz w:val="16"/>
                <w:szCs w:val="20"/>
              </w:rPr>
              <w:t>(środki UE + ewentualne współfinansowanie z budżetu państwa lub innych źródeł przyznawane beneficjentowi przez właściwą instytucję)</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 xml:space="preserve">100% (typ </w:t>
            </w:r>
            <w:r w:rsidRPr="00EF33EE">
              <w:rPr>
                <w:rFonts w:cs="Arial"/>
                <w:iCs/>
                <w:sz w:val="20"/>
                <w:szCs w:val="20"/>
              </w:rPr>
              <w:t xml:space="preserve">projektu </w:t>
            </w:r>
            <w:r w:rsidRPr="00EF33EE">
              <w:rPr>
                <w:rFonts w:cs="Arial"/>
                <w:sz w:val="20"/>
                <w:szCs w:val="20"/>
              </w:rPr>
              <w:t>1)</w:t>
            </w:r>
          </w:p>
          <w:p w:rsidR="00EF33EE" w:rsidRPr="00EF33EE" w:rsidRDefault="00EF33EE" w:rsidP="00EF33EE">
            <w:pPr>
              <w:spacing w:before="40" w:after="40" w:line="240" w:lineRule="auto"/>
              <w:jc w:val="left"/>
              <w:rPr>
                <w:rFonts w:cs="Arial"/>
                <w:sz w:val="20"/>
                <w:szCs w:val="20"/>
              </w:rPr>
            </w:pPr>
            <w:r w:rsidRPr="00EF33EE">
              <w:rPr>
                <w:rFonts w:cs="Arial"/>
                <w:sz w:val="20"/>
                <w:szCs w:val="20"/>
              </w:rPr>
              <w:t xml:space="preserve">95% </w:t>
            </w:r>
            <w:r w:rsidRPr="00EF33EE">
              <w:rPr>
                <w:sz w:val="16"/>
                <w:szCs w:val="20"/>
                <w:vertAlign w:val="superscript"/>
              </w:rPr>
              <w:footnoteReference w:id="2"/>
            </w:r>
            <w:r w:rsidRPr="00EF33EE">
              <w:rPr>
                <w:rFonts w:cs="Arial"/>
                <w:sz w:val="20"/>
                <w:szCs w:val="20"/>
              </w:rPr>
              <w:t>(typ</w:t>
            </w:r>
            <w:r w:rsidRPr="00EF33EE">
              <w:rPr>
                <w:rFonts w:cs="Arial"/>
                <w:iCs/>
                <w:sz w:val="20"/>
                <w:szCs w:val="20"/>
              </w:rPr>
              <w:t xml:space="preserve"> projektu</w:t>
            </w:r>
            <w:r w:rsidRPr="00EF33EE">
              <w:rPr>
                <w:rFonts w:cs="Arial"/>
                <w:sz w:val="20"/>
                <w:szCs w:val="20"/>
              </w:rPr>
              <w:t xml:space="preserve"> 2)</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 xml:space="preserve">Minimalny wkład własny beneficjenta jako % wydatków kwalifikowalnych </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 xml:space="preserve">0% (typ </w:t>
            </w:r>
            <w:r w:rsidRPr="00EF33EE">
              <w:rPr>
                <w:rFonts w:cs="Arial"/>
                <w:iCs/>
                <w:sz w:val="20"/>
                <w:szCs w:val="20"/>
              </w:rPr>
              <w:t xml:space="preserve">projektu </w:t>
            </w:r>
            <w:r w:rsidRPr="00EF33EE">
              <w:rPr>
                <w:rFonts w:cs="Arial"/>
                <w:sz w:val="20"/>
                <w:szCs w:val="20"/>
              </w:rPr>
              <w:t>1)</w:t>
            </w:r>
          </w:p>
          <w:p w:rsidR="00EF33EE" w:rsidRPr="00EF33EE" w:rsidRDefault="00EF33EE" w:rsidP="00EF33EE">
            <w:pPr>
              <w:spacing w:before="40" w:after="40" w:line="240" w:lineRule="auto"/>
              <w:jc w:val="left"/>
              <w:rPr>
                <w:rFonts w:cs="Arial"/>
                <w:sz w:val="20"/>
                <w:szCs w:val="20"/>
              </w:rPr>
            </w:pPr>
            <w:r w:rsidRPr="00EF33EE">
              <w:rPr>
                <w:rFonts w:cs="Arial"/>
                <w:sz w:val="20"/>
                <w:szCs w:val="20"/>
              </w:rPr>
              <w:t>5% (typ</w:t>
            </w:r>
            <w:r w:rsidRPr="00EF33EE">
              <w:rPr>
                <w:rFonts w:cs="Arial"/>
                <w:iCs/>
                <w:sz w:val="20"/>
                <w:szCs w:val="20"/>
              </w:rPr>
              <w:t xml:space="preserve"> projektu</w:t>
            </w:r>
            <w:r w:rsidRPr="00EF33EE">
              <w:rPr>
                <w:rFonts w:cs="Arial"/>
                <w:sz w:val="20"/>
                <w:szCs w:val="20"/>
              </w:rPr>
              <w:t xml:space="preserve"> 2)</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Minimalna</w:t>
            </w:r>
            <w:r w:rsidRPr="00EF33EE">
              <w:rPr>
                <w:rFonts w:cs="Arial"/>
                <w:sz w:val="20"/>
                <w:szCs w:val="20"/>
              </w:rPr>
              <w:br/>
              <w:t>i maksymalna wartość projektu (PLN)</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Nie dotyczy</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 xml:space="preserve">Minimalna i maksymalna wartość wydatków kwalifikowalnych projektu (PLN) </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Nie dotyczy</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Kwota alokacji UE na instrumenty finansowe</w:t>
            </w:r>
            <w:r w:rsidRPr="00EF33EE">
              <w:rPr>
                <w:rFonts w:cs="Arial"/>
                <w:sz w:val="20"/>
                <w:szCs w:val="20"/>
              </w:rPr>
              <w:br/>
              <w:t xml:space="preserve">(EUR) </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Nie dotyczy</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Mechanizm wdrażania instrumentów finansowych</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Nie dotyczy</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Rodzaj wsparcia instrumentów finansowych</w:t>
            </w:r>
            <w:r w:rsidRPr="00EF33EE">
              <w:t xml:space="preserve"> </w:t>
            </w:r>
            <w:r w:rsidRPr="00EF33EE">
              <w:rPr>
                <w:rFonts w:cs="Arial"/>
                <w:sz w:val="20"/>
                <w:szCs w:val="20"/>
              </w:rPr>
              <w:t>oraz najważniejsze warunki przyznawania</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Nie dotyczy</w:t>
            </w:r>
          </w:p>
        </w:tc>
      </w:tr>
      <w:tr w:rsidR="00EF33EE" w:rsidRPr="00EF33EE" w:rsidTr="003A7C9D">
        <w:tc>
          <w:tcPr>
            <w:tcW w:w="1235" w:type="pct"/>
            <w:shd w:val="clear" w:color="auto" w:fill="auto"/>
          </w:tcPr>
          <w:p w:rsidR="00EF33EE" w:rsidRPr="00EF33EE" w:rsidRDefault="00EF33EE" w:rsidP="00EF33EE">
            <w:pPr>
              <w:numPr>
                <w:ilvl w:val="0"/>
                <w:numId w:val="2"/>
              </w:numPr>
              <w:tabs>
                <w:tab w:val="num" w:pos="900"/>
              </w:tabs>
              <w:suppressAutoHyphens/>
              <w:spacing w:before="40" w:after="40" w:line="240" w:lineRule="auto"/>
              <w:jc w:val="left"/>
              <w:rPr>
                <w:rFonts w:cs="Arial"/>
                <w:sz w:val="20"/>
                <w:szCs w:val="20"/>
              </w:rPr>
            </w:pPr>
            <w:r w:rsidRPr="00EF33EE">
              <w:rPr>
                <w:rFonts w:cs="Arial"/>
                <w:sz w:val="20"/>
                <w:szCs w:val="20"/>
              </w:rPr>
              <w:t>Katalog ostatecznych odbiorców instrumentów finansowych</w:t>
            </w:r>
          </w:p>
        </w:tc>
        <w:tc>
          <w:tcPr>
            <w:tcW w:w="81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Działanie 2.1</w:t>
            </w:r>
          </w:p>
          <w:p w:rsidR="00EF33EE" w:rsidRPr="00EF33EE" w:rsidRDefault="00EF33EE" w:rsidP="00EF33EE">
            <w:pPr>
              <w:spacing w:before="40" w:after="40" w:line="240" w:lineRule="auto"/>
              <w:jc w:val="left"/>
              <w:rPr>
                <w:rFonts w:cs="Arial"/>
                <w:sz w:val="20"/>
                <w:szCs w:val="20"/>
              </w:rPr>
            </w:pPr>
          </w:p>
          <w:p w:rsidR="00EF33EE" w:rsidRPr="00EF33EE" w:rsidRDefault="00EF33EE" w:rsidP="00EF33EE">
            <w:pPr>
              <w:spacing w:before="40" w:after="40" w:line="240" w:lineRule="auto"/>
              <w:jc w:val="left"/>
              <w:rPr>
                <w:rFonts w:cs="Arial"/>
                <w:sz w:val="20"/>
                <w:szCs w:val="20"/>
              </w:rPr>
            </w:pPr>
          </w:p>
        </w:tc>
        <w:tc>
          <w:tcPr>
            <w:tcW w:w="2953" w:type="pct"/>
            <w:shd w:val="clear" w:color="auto" w:fill="auto"/>
          </w:tcPr>
          <w:p w:rsidR="00EF33EE" w:rsidRPr="00EF33EE" w:rsidRDefault="00EF33EE" w:rsidP="00EF33EE">
            <w:pPr>
              <w:spacing w:before="40" w:after="40" w:line="240" w:lineRule="auto"/>
              <w:jc w:val="left"/>
              <w:rPr>
                <w:rFonts w:cs="Arial"/>
                <w:sz w:val="20"/>
                <w:szCs w:val="20"/>
              </w:rPr>
            </w:pPr>
            <w:r w:rsidRPr="00EF33EE">
              <w:rPr>
                <w:rFonts w:cs="Arial"/>
                <w:sz w:val="20"/>
                <w:szCs w:val="20"/>
              </w:rPr>
              <w:t>Nie dotyczy</w:t>
            </w:r>
          </w:p>
        </w:tc>
      </w:tr>
    </w:tbl>
    <w:p w:rsidR="00EF33EE" w:rsidRDefault="00EF33EE" w:rsidP="00EF33EE">
      <w:pPr>
        <w:suppressAutoHyphens/>
        <w:spacing w:before="120" w:after="30" w:line="240" w:lineRule="auto"/>
        <w:jc w:val="left"/>
        <w:rPr>
          <w:rFonts w:cs="Arial"/>
          <w:sz w:val="20"/>
          <w:szCs w:val="20"/>
        </w:rPr>
      </w:pPr>
    </w:p>
    <w:sectPr w:rsidR="00EF33EE" w:rsidSect="00667D4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490" w:rsidRDefault="00654490" w:rsidP="008A0ACE">
      <w:pPr>
        <w:spacing w:line="240" w:lineRule="auto"/>
      </w:pPr>
      <w:r>
        <w:separator/>
      </w:r>
    </w:p>
  </w:endnote>
  <w:endnote w:type="continuationSeparator" w:id="0">
    <w:p w:rsidR="00654490" w:rsidRDefault="00654490" w:rsidP="008A0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490" w:rsidRDefault="00654490" w:rsidP="008A0ACE">
      <w:pPr>
        <w:spacing w:line="240" w:lineRule="auto"/>
      </w:pPr>
      <w:r>
        <w:separator/>
      </w:r>
    </w:p>
  </w:footnote>
  <w:footnote w:type="continuationSeparator" w:id="0">
    <w:p w:rsidR="00654490" w:rsidRDefault="00654490" w:rsidP="008A0ACE">
      <w:pPr>
        <w:spacing w:line="240" w:lineRule="auto"/>
      </w:pPr>
      <w:r>
        <w:continuationSeparator/>
      </w:r>
    </w:p>
  </w:footnote>
  <w:footnote w:id="1">
    <w:p w:rsidR="00EF33EE" w:rsidRDefault="00EF33EE" w:rsidP="00EF33EE">
      <w:pPr>
        <w:pStyle w:val="Tekstprzypisudolnego"/>
      </w:pPr>
      <w:r>
        <w:rPr>
          <w:rStyle w:val="Odwoanieprzypisudolnego"/>
        </w:rPr>
        <w:footnoteRef/>
      </w:r>
      <w:r>
        <w:t xml:space="preserve"> </w:t>
      </w:r>
      <w:r w:rsidRPr="001E37B2">
        <w:t xml:space="preserve">Z uwagi na konieczność zachowania linii demarkacyjnej </w:t>
      </w:r>
      <w:r>
        <w:t xml:space="preserve">z </w:t>
      </w:r>
      <w:r w:rsidRPr="001E37B2">
        <w:t xml:space="preserve">Działaniem 9.1 warunkiem zakwalifikowania osoby jako uczestnika projektu jest złożenie oświadczenia o jednoczesnym niekorzystaniu z takich samych form wsparcia w ramach projektów realizowanych w </w:t>
      </w:r>
      <w:r>
        <w:t>Działaniu 9.1</w:t>
      </w:r>
      <w:r w:rsidRPr="001E37B2">
        <w:t>.</w:t>
      </w:r>
    </w:p>
  </w:footnote>
  <w:footnote w:id="2">
    <w:p w:rsidR="00EF33EE" w:rsidRDefault="00EF33EE" w:rsidP="00EF33EE">
      <w:pPr>
        <w:pStyle w:val="Tekstprzypisudolnego"/>
        <w:jc w:val="both"/>
      </w:pPr>
      <w:r>
        <w:rPr>
          <w:rStyle w:val="Odwoanieprzypisudolnego"/>
        </w:rPr>
        <w:footnoteRef/>
      </w:r>
      <w:r>
        <w:t xml:space="preserve"> Podwyższony poziom dofinansowania uzależniony jest od decyzji MF i MIR w zakresie dofinansowania części projektów realizowanych z EFS z budżetu państwa.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244C"/>
    <w:multiLevelType w:val="hybridMultilevel"/>
    <w:tmpl w:val="65165C0A"/>
    <w:lvl w:ilvl="0" w:tplc="CA4EB9DC">
      <w:start w:val="1"/>
      <w:numFmt w:val="bullet"/>
      <w:lvlText w:val=""/>
      <w:lvlJc w:val="left"/>
      <w:pPr>
        <w:ind w:left="1288" w:hanging="360"/>
      </w:pPr>
      <w:rPr>
        <w:rFonts w:ascii="Symbol" w:hAnsi="Symbol" w:hint="default"/>
        <w:sz w:val="24"/>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 w15:restartNumberingAfterBreak="0">
    <w:nsid w:val="0B7949FE"/>
    <w:multiLevelType w:val="hybridMultilevel"/>
    <w:tmpl w:val="68E8E6C6"/>
    <w:lvl w:ilvl="0" w:tplc="F1ACE0AC">
      <w:start w:val="1"/>
      <w:numFmt w:val="decimal"/>
      <w:lvlText w:val="%1."/>
      <w:lvlJc w:val="left"/>
      <w:pPr>
        <w:tabs>
          <w:tab w:val="num" w:pos="360"/>
        </w:tabs>
        <w:ind w:left="360" w:hanging="360"/>
      </w:pPr>
      <w:rPr>
        <w:rFonts w:hint="default"/>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2" w15:restartNumberingAfterBreak="0">
    <w:nsid w:val="38723AA8"/>
    <w:multiLevelType w:val="hybridMultilevel"/>
    <w:tmpl w:val="FD6CE02A"/>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D45A76"/>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ECC691B"/>
    <w:multiLevelType w:val="hybridMultilevel"/>
    <w:tmpl w:val="5A32BD02"/>
    <w:lvl w:ilvl="0" w:tplc="806EA0E8">
      <w:start w:val="2"/>
      <w:numFmt w:val="decimal"/>
      <w:lvlText w:val="%1."/>
      <w:lvlJc w:val="left"/>
      <w:pPr>
        <w:tabs>
          <w:tab w:val="num" w:pos="360"/>
        </w:tabs>
        <w:ind w:left="360" w:hanging="360"/>
      </w:pPr>
      <w:rPr>
        <w:rFonts w:hint="default"/>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5" w15:restartNumberingAfterBreak="0">
    <w:nsid w:val="58BD014A"/>
    <w:multiLevelType w:val="hybridMultilevel"/>
    <w:tmpl w:val="3140AF70"/>
    <w:lvl w:ilvl="0" w:tplc="5B3687D6">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6" w15:restartNumberingAfterBreak="0">
    <w:nsid w:val="687C19A4"/>
    <w:multiLevelType w:val="hybridMultilevel"/>
    <w:tmpl w:val="B08808F8"/>
    <w:lvl w:ilvl="0" w:tplc="5B3687D6">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7" w15:restartNumberingAfterBreak="0">
    <w:nsid w:val="69C86AE0"/>
    <w:multiLevelType w:val="hybridMultilevel"/>
    <w:tmpl w:val="E688A69A"/>
    <w:lvl w:ilvl="0" w:tplc="CA4EB9DC">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70B05111"/>
    <w:multiLevelType w:val="hybridMultilevel"/>
    <w:tmpl w:val="9788A174"/>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2585ACD"/>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9224E60"/>
    <w:multiLevelType w:val="hybridMultilevel"/>
    <w:tmpl w:val="1B503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0"/>
  </w:num>
  <w:num w:numId="5">
    <w:abstractNumId w:val="9"/>
  </w:num>
  <w:num w:numId="6">
    <w:abstractNumId w:val="4"/>
  </w:num>
  <w:num w:numId="7">
    <w:abstractNumId w:val="7"/>
  </w:num>
  <w:num w:numId="8">
    <w:abstractNumId w:val="8"/>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49"/>
    <w:rsid w:val="000C5B94"/>
    <w:rsid w:val="00220B7A"/>
    <w:rsid w:val="00226B11"/>
    <w:rsid w:val="002755E3"/>
    <w:rsid w:val="00306153"/>
    <w:rsid w:val="00363349"/>
    <w:rsid w:val="00376FA9"/>
    <w:rsid w:val="00522422"/>
    <w:rsid w:val="00631E50"/>
    <w:rsid w:val="00654490"/>
    <w:rsid w:val="00667D41"/>
    <w:rsid w:val="00684D3A"/>
    <w:rsid w:val="00724719"/>
    <w:rsid w:val="00805945"/>
    <w:rsid w:val="0081272C"/>
    <w:rsid w:val="008A0ACE"/>
    <w:rsid w:val="00B55B66"/>
    <w:rsid w:val="00E11DB5"/>
    <w:rsid w:val="00EF33EE"/>
    <w:rsid w:val="00EF7C9E"/>
    <w:rsid w:val="00F5222F"/>
    <w:rsid w:val="00FA7C20"/>
    <w:rsid w:val="00FB2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2D6B"/>
  <w15:docId w15:val="{1477CB67-6DB9-42CF-90AE-DD69B642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0ACE"/>
    <w:pPr>
      <w:spacing w:after="0" w:line="360" w:lineRule="auto"/>
      <w:jc w:val="both"/>
    </w:pPr>
    <w:rPr>
      <w:rFonts w:ascii="Arial" w:eastAsia="Times New Roman" w:hAnsi="Arial" w:cs="Times New Roman"/>
      <w:szCs w:val="24"/>
      <w:lang w:eastAsia="pl-PL"/>
    </w:rPr>
  </w:style>
  <w:style w:type="paragraph" w:styleId="Nagwek2">
    <w:name w:val="heading 2"/>
    <w:basedOn w:val="Normalny"/>
    <w:next w:val="Normalny"/>
    <w:link w:val="Nagwek2Znak"/>
    <w:uiPriority w:val="9"/>
    <w:semiHidden/>
    <w:unhideWhenUsed/>
    <w:qFormat/>
    <w:rsid w:val="008A0A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rsid w:val="008A0ACE"/>
    <w:pPr>
      <w:suppressAutoHyphens/>
      <w:spacing w:line="240" w:lineRule="auto"/>
      <w:jc w:val="left"/>
    </w:pPr>
    <w:rPr>
      <w:rFonts w:cs="Tahoma"/>
      <w:sz w:val="16"/>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8A0ACE"/>
    <w:rPr>
      <w:rFonts w:ascii="Arial" w:eastAsia="Times New Roman" w:hAnsi="Arial" w:cs="Tahoma"/>
      <w:sz w:val="16"/>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8A0ACE"/>
    <w:rPr>
      <w:rFonts w:ascii="Arial" w:hAnsi="Arial" w:cs="Times New Roman"/>
      <w:sz w:val="16"/>
      <w:shd w:val="clear" w:color="auto" w:fill="auto"/>
      <w:vertAlign w:val="superscript"/>
    </w:rPr>
  </w:style>
  <w:style w:type="character" w:styleId="Odwoaniedokomentarza">
    <w:name w:val="annotation reference"/>
    <w:rsid w:val="008A0ACE"/>
    <w:rPr>
      <w:sz w:val="16"/>
      <w:szCs w:val="16"/>
    </w:rPr>
  </w:style>
  <w:style w:type="paragraph" w:styleId="Tekstkomentarza">
    <w:name w:val="annotation text"/>
    <w:basedOn w:val="Normalny"/>
    <w:link w:val="TekstkomentarzaZnak"/>
    <w:rsid w:val="008A0ACE"/>
    <w:pPr>
      <w:spacing w:line="240" w:lineRule="auto"/>
    </w:pPr>
    <w:rPr>
      <w:sz w:val="16"/>
      <w:szCs w:val="20"/>
    </w:rPr>
  </w:style>
  <w:style w:type="character" w:customStyle="1" w:styleId="TekstkomentarzaZnak">
    <w:name w:val="Tekst komentarza Znak"/>
    <w:basedOn w:val="Domylnaczcionkaakapitu"/>
    <w:link w:val="Tekstkomentarza"/>
    <w:rsid w:val="008A0ACE"/>
    <w:rPr>
      <w:rFonts w:ascii="Arial" w:eastAsia="Times New Roman" w:hAnsi="Arial" w:cs="Times New Roman"/>
      <w:sz w:val="16"/>
      <w:szCs w:val="20"/>
      <w:lang w:eastAsia="pl-PL"/>
    </w:rPr>
  </w:style>
  <w:style w:type="paragraph" w:customStyle="1" w:styleId="Default">
    <w:name w:val="Default"/>
    <w:rsid w:val="008A0ACE"/>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szop">
    <w:name w:val="szop"/>
    <w:basedOn w:val="Nagwek2"/>
    <w:link w:val="szopZnak"/>
    <w:qFormat/>
    <w:rsid w:val="008A0ACE"/>
    <w:pPr>
      <w:keepLines w:val="0"/>
      <w:pBdr>
        <w:top w:val="single" w:sz="4" w:space="1" w:color="auto"/>
        <w:left w:val="single" w:sz="4" w:space="4" w:color="auto"/>
        <w:bottom w:val="single" w:sz="4" w:space="1" w:color="auto"/>
        <w:right w:val="single" w:sz="4" w:space="4" w:color="auto"/>
      </w:pBdr>
      <w:shd w:val="clear" w:color="auto" w:fill="9CC2E5"/>
      <w:tabs>
        <w:tab w:val="left" w:pos="360"/>
      </w:tabs>
      <w:suppressAutoHyphens/>
      <w:spacing w:before="120" w:after="120" w:line="240" w:lineRule="auto"/>
      <w:jc w:val="left"/>
    </w:pPr>
    <w:rPr>
      <w:rFonts w:ascii="Arial" w:eastAsia="Times New Roman" w:hAnsi="Arial" w:cs="Arial"/>
      <w:iCs/>
      <w:color w:val="auto"/>
      <w:sz w:val="24"/>
      <w:szCs w:val="22"/>
    </w:rPr>
  </w:style>
  <w:style w:type="character" w:customStyle="1" w:styleId="szopZnak">
    <w:name w:val="szop Znak"/>
    <w:basedOn w:val="Domylnaczcionkaakapitu"/>
    <w:link w:val="szop"/>
    <w:rsid w:val="008A0ACE"/>
    <w:rPr>
      <w:rFonts w:ascii="Arial" w:eastAsia="Times New Roman" w:hAnsi="Arial" w:cs="Arial"/>
      <w:b/>
      <w:bCs/>
      <w:iCs/>
      <w:sz w:val="24"/>
      <w:shd w:val="clear" w:color="auto" w:fill="9CC2E5"/>
      <w:lang w:eastAsia="pl-PL"/>
    </w:rPr>
  </w:style>
  <w:style w:type="character" w:customStyle="1" w:styleId="Nagwek2Znak">
    <w:name w:val="Nagłówek 2 Znak"/>
    <w:basedOn w:val="Domylnaczcionkaakapitu"/>
    <w:link w:val="Nagwek2"/>
    <w:uiPriority w:val="9"/>
    <w:semiHidden/>
    <w:rsid w:val="008A0ACE"/>
    <w:rPr>
      <w:rFonts w:asciiTheme="majorHAnsi" w:eastAsiaTheme="majorEastAsia" w:hAnsiTheme="majorHAnsi" w:cstheme="majorBidi"/>
      <w:b/>
      <w:bCs/>
      <w:color w:val="4F81BD" w:themeColor="accent1"/>
      <w:sz w:val="26"/>
      <w:szCs w:val="26"/>
      <w:lang w:eastAsia="pl-PL"/>
    </w:rPr>
  </w:style>
  <w:style w:type="paragraph" w:styleId="Tekstdymka">
    <w:name w:val="Balloon Text"/>
    <w:basedOn w:val="Normalny"/>
    <w:link w:val="TekstdymkaZnak"/>
    <w:uiPriority w:val="99"/>
    <w:semiHidden/>
    <w:unhideWhenUsed/>
    <w:rsid w:val="008A0AC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ACE"/>
    <w:rPr>
      <w:rFonts w:ascii="Tahoma" w:eastAsia="Times New Roman" w:hAnsi="Tahoma" w:cs="Tahoma"/>
      <w:sz w:val="16"/>
      <w:szCs w:val="16"/>
      <w:lang w:eastAsia="pl-PL"/>
    </w:rPr>
  </w:style>
  <w:style w:type="paragraph" w:styleId="Akapitzlist">
    <w:name w:val="List Paragraph"/>
    <w:basedOn w:val="Normalny"/>
    <w:uiPriority w:val="34"/>
    <w:qFormat/>
    <w:rsid w:val="000C5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1647</Words>
  <Characters>9888</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 Misiewicz</dc:creator>
  <cp:keywords/>
  <dc:description/>
  <cp:lastModifiedBy>Ilona Jakubowicz</cp:lastModifiedBy>
  <cp:revision>4</cp:revision>
  <dcterms:created xsi:type="dcterms:W3CDTF">2018-01-17T09:15:00Z</dcterms:created>
  <dcterms:modified xsi:type="dcterms:W3CDTF">2018-02-22T09:39:00Z</dcterms:modified>
</cp:coreProperties>
</file>