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3FDDD" w14:textId="77777777" w:rsidR="00442E77" w:rsidRPr="00F66F54" w:rsidRDefault="00442E77" w:rsidP="00442E77">
      <w:pPr>
        <w:spacing w:after="0" w:line="240" w:lineRule="auto"/>
        <w:jc w:val="both"/>
        <w:rPr>
          <w:rFonts w:ascii="Times New Roman" w:hAnsi="Times New Roman" w:cs="Times New Roman"/>
          <w:b/>
          <w:sz w:val="24"/>
          <w:szCs w:val="24"/>
        </w:rPr>
      </w:pPr>
    </w:p>
    <w:p w14:paraId="41F967F1" w14:textId="27EA1456" w:rsidR="00325C8B" w:rsidRPr="00F66F54" w:rsidRDefault="00325C8B" w:rsidP="00442E77">
      <w:pPr>
        <w:spacing w:after="0" w:line="240" w:lineRule="auto"/>
        <w:jc w:val="both"/>
        <w:rPr>
          <w:rFonts w:ascii="Times New Roman" w:hAnsi="Times New Roman" w:cs="Times New Roman"/>
          <w:b/>
          <w:sz w:val="24"/>
          <w:szCs w:val="24"/>
        </w:rPr>
      </w:pPr>
      <w:r w:rsidRPr="00F66F54">
        <w:rPr>
          <w:rFonts w:ascii="Times New Roman" w:hAnsi="Times New Roman" w:cs="Times New Roman"/>
          <w:b/>
          <w:sz w:val="24"/>
          <w:szCs w:val="24"/>
        </w:rPr>
        <w:t xml:space="preserve">Załącznik nr </w:t>
      </w:r>
      <w:r w:rsidR="00382CCB" w:rsidRPr="00F66F54">
        <w:rPr>
          <w:rFonts w:ascii="Times New Roman" w:hAnsi="Times New Roman" w:cs="Times New Roman"/>
          <w:b/>
          <w:sz w:val="24"/>
          <w:szCs w:val="24"/>
        </w:rPr>
        <w:t>8</w:t>
      </w:r>
      <w:r w:rsidRPr="00F66F54">
        <w:rPr>
          <w:rFonts w:ascii="Times New Roman" w:hAnsi="Times New Roman" w:cs="Times New Roman"/>
          <w:b/>
          <w:sz w:val="24"/>
          <w:szCs w:val="24"/>
        </w:rPr>
        <w:t xml:space="preserve">: </w:t>
      </w:r>
      <w:r w:rsidR="00FD66D3" w:rsidRPr="00F66F54">
        <w:rPr>
          <w:rFonts w:ascii="Times New Roman" w:hAnsi="Times New Roman" w:cs="Times New Roman"/>
          <w:b/>
          <w:sz w:val="24"/>
          <w:szCs w:val="24"/>
        </w:rPr>
        <w:t xml:space="preserve">Wykaz dopuszczalnych stawek dla towarów i usług </w:t>
      </w:r>
      <w:r w:rsidRPr="00F66F54">
        <w:rPr>
          <w:rFonts w:ascii="Times New Roman" w:hAnsi="Times New Roman" w:cs="Times New Roman"/>
          <w:b/>
          <w:sz w:val="24"/>
          <w:szCs w:val="24"/>
        </w:rPr>
        <w:t xml:space="preserve">w ramach konkursu nr </w:t>
      </w:r>
      <w:r w:rsidR="00653575" w:rsidRPr="00F66F54">
        <w:rPr>
          <w:rFonts w:ascii="Times New Roman" w:hAnsi="Times New Roman" w:cs="Times New Roman"/>
          <w:b/>
          <w:sz w:val="24"/>
          <w:szCs w:val="24"/>
        </w:rPr>
        <w:t>RPPD.</w:t>
      </w:r>
      <w:r w:rsidR="0071592E" w:rsidRPr="00F66F54">
        <w:rPr>
          <w:rFonts w:ascii="Times New Roman" w:hAnsi="Times New Roman" w:cs="Times New Roman"/>
          <w:b/>
          <w:sz w:val="24"/>
          <w:szCs w:val="24"/>
        </w:rPr>
        <w:t>02.0</w:t>
      </w:r>
      <w:r w:rsidR="00EC568D" w:rsidRPr="00F66F54">
        <w:rPr>
          <w:rFonts w:ascii="Times New Roman" w:hAnsi="Times New Roman" w:cs="Times New Roman"/>
          <w:b/>
          <w:sz w:val="24"/>
          <w:szCs w:val="24"/>
        </w:rPr>
        <w:t>1</w:t>
      </w:r>
      <w:r w:rsidR="0071592E" w:rsidRPr="00F66F54">
        <w:rPr>
          <w:rFonts w:ascii="Times New Roman" w:hAnsi="Times New Roman" w:cs="Times New Roman"/>
          <w:b/>
          <w:sz w:val="24"/>
          <w:szCs w:val="24"/>
        </w:rPr>
        <w:t>.00-IP.01</w:t>
      </w:r>
      <w:r w:rsidR="00737EB9" w:rsidRPr="00F66F54">
        <w:rPr>
          <w:rFonts w:ascii="Times New Roman" w:hAnsi="Times New Roman" w:cs="Times New Roman"/>
          <w:b/>
          <w:sz w:val="24"/>
          <w:szCs w:val="24"/>
        </w:rPr>
        <w:t>-</w:t>
      </w:r>
      <w:r w:rsidR="0071592E" w:rsidRPr="00F66F54">
        <w:rPr>
          <w:rFonts w:ascii="Times New Roman" w:hAnsi="Times New Roman" w:cs="Times New Roman"/>
          <w:b/>
          <w:sz w:val="24"/>
          <w:szCs w:val="24"/>
        </w:rPr>
        <w:t>20</w:t>
      </w:r>
      <w:r w:rsidR="00737EB9" w:rsidRPr="00F66F54">
        <w:rPr>
          <w:rFonts w:ascii="Times New Roman" w:hAnsi="Times New Roman" w:cs="Times New Roman"/>
          <w:b/>
          <w:sz w:val="24"/>
          <w:szCs w:val="24"/>
        </w:rPr>
        <w:t>-</w:t>
      </w:r>
      <w:r w:rsidR="0071592E" w:rsidRPr="00F66F54">
        <w:rPr>
          <w:rFonts w:ascii="Times New Roman" w:hAnsi="Times New Roman" w:cs="Times New Roman"/>
          <w:b/>
          <w:sz w:val="24"/>
          <w:szCs w:val="24"/>
        </w:rPr>
        <w:t>00</w:t>
      </w:r>
      <w:r w:rsidR="00E97FD8" w:rsidRPr="00F66F54">
        <w:rPr>
          <w:rFonts w:ascii="Times New Roman" w:hAnsi="Times New Roman" w:cs="Times New Roman"/>
          <w:b/>
          <w:sz w:val="24"/>
          <w:szCs w:val="24"/>
        </w:rPr>
        <w:t>1</w:t>
      </w:r>
      <w:r w:rsidR="0071592E" w:rsidRPr="00F66F54">
        <w:rPr>
          <w:rFonts w:ascii="Times New Roman" w:hAnsi="Times New Roman" w:cs="Times New Roman"/>
          <w:b/>
          <w:sz w:val="24"/>
          <w:szCs w:val="24"/>
        </w:rPr>
        <w:t>/</w:t>
      </w:r>
      <w:r w:rsidR="00E97FD8" w:rsidRPr="00F66F54">
        <w:rPr>
          <w:rFonts w:ascii="Times New Roman" w:hAnsi="Times New Roman" w:cs="Times New Roman"/>
          <w:b/>
          <w:sz w:val="24"/>
          <w:szCs w:val="24"/>
        </w:rPr>
        <w:t>20</w:t>
      </w:r>
    </w:p>
    <w:p w14:paraId="1815573A" w14:textId="7E1F0430" w:rsidR="00AF690C" w:rsidRPr="00F66F54" w:rsidRDefault="00AF690C" w:rsidP="00442E77">
      <w:pPr>
        <w:spacing w:after="0" w:line="240" w:lineRule="auto"/>
        <w:jc w:val="both"/>
        <w:rPr>
          <w:rFonts w:ascii="Times New Roman" w:hAnsi="Times New Roman" w:cs="Times New Roman"/>
          <w:sz w:val="24"/>
          <w:szCs w:val="24"/>
        </w:rPr>
      </w:pPr>
    </w:p>
    <w:p w14:paraId="06F09DDA" w14:textId="77777777" w:rsidR="00442E77" w:rsidRPr="00F66F54" w:rsidRDefault="00442E77" w:rsidP="00442E77">
      <w:pPr>
        <w:spacing w:after="0" w:line="240" w:lineRule="auto"/>
        <w:jc w:val="both"/>
        <w:rPr>
          <w:rFonts w:ascii="Times New Roman" w:hAnsi="Times New Roman" w:cs="Times New Roman"/>
          <w:sz w:val="24"/>
          <w:szCs w:val="24"/>
        </w:rPr>
      </w:pPr>
    </w:p>
    <w:p w14:paraId="05C01B46" w14:textId="05176106" w:rsidR="0071592E" w:rsidRPr="00F66F54" w:rsidRDefault="0071592E" w:rsidP="00442E77">
      <w:pPr>
        <w:spacing w:after="120" w:line="240" w:lineRule="auto"/>
        <w:jc w:val="both"/>
        <w:rPr>
          <w:rFonts w:ascii="Times New Roman" w:hAnsi="Times New Roman" w:cs="Times New Roman"/>
          <w:i/>
          <w:sz w:val="24"/>
          <w:szCs w:val="24"/>
        </w:rPr>
      </w:pPr>
      <w:r w:rsidRPr="00F66F54">
        <w:rPr>
          <w:rFonts w:ascii="Times New Roman" w:hAnsi="Times New Roman" w:cs="Times New Roman"/>
          <w:sz w:val="24"/>
          <w:szCs w:val="24"/>
        </w:rPr>
        <w:t>Zestawienie cen rynkowych i określenie standardu wydatków w projektach konkursowych realizowanych w ramach Działania 2.</w:t>
      </w:r>
      <w:r w:rsidR="00EC568D" w:rsidRPr="00F66F54">
        <w:rPr>
          <w:rFonts w:ascii="Times New Roman" w:hAnsi="Times New Roman" w:cs="Times New Roman"/>
          <w:sz w:val="24"/>
          <w:szCs w:val="24"/>
        </w:rPr>
        <w:t>1</w:t>
      </w:r>
      <w:r w:rsidR="003D634E" w:rsidRPr="00F66F54">
        <w:rPr>
          <w:rFonts w:ascii="Times New Roman" w:eastAsia="TimesNewRoman" w:hAnsi="Times New Roman" w:cs="Times New Roman"/>
          <w:i/>
          <w:sz w:val="24"/>
          <w:szCs w:val="24"/>
        </w:rPr>
        <w:t xml:space="preserve"> Zwiększanie zdolności zatrudnieniowej osób pozostających bez zatrudnienia oraz osób poszukujących pracy przy wykorzystaniu aktywnej polityki rynku pracy oraz wspieranie mobilności zasobów pracy</w:t>
      </w:r>
      <w:r w:rsidRPr="00F66F54">
        <w:rPr>
          <w:rFonts w:ascii="Times New Roman" w:hAnsi="Times New Roman" w:cs="Times New Roman"/>
          <w:sz w:val="24"/>
          <w:szCs w:val="24"/>
        </w:rPr>
        <w:t>, Regionalnego Programu Operacyjnego Województwa Podlaskiego na lata 2014-2020 w województwie podlaskim</w:t>
      </w:r>
      <w:r w:rsidR="00442E77" w:rsidRPr="00F66F54">
        <w:rPr>
          <w:rFonts w:ascii="Times New Roman" w:hAnsi="Times New Roman" w:cs="Times New Roman"/>
          <w:sz w:val="24"/>
          <w:szCs w:val="24"/>
        </w:rPr>
        <w:t>.</w:t>
      </w:r>
    </w:p>
    <w:p w14:paraId="35E2FFAE" w14:textId="19C769CB" w:rsidR="0071592E" w:rsidRPr="00F66F54" w:rsidRDefault="0071592E" w:rsidP="00442E77">
      <w:pPr>
        <w:spacing w:after="120" w:line="240" w:lineRule="auto"/>
        <w:jc w:val="both"/>
        <w:rPr>
          <w:rFonts w:ascii="Times New Roman" w:hAnsi="Times New Roman" w:cs="Times New Roman"/>
          <w:sz w:val="24"/>
          <w:szCs w:val="24"/>
        </w:rPr>
      </w:pPr>
      <w:r w:rsidRPr="00F66F54">
        <w:rPr>
          <w:rFonts w:ascii="Times New Roman" w:hAnsi="Times New Roman" w:cs="Times New Roman"/>
          <w:sz w:val="24"/>
          <w:szCs w:val="24"/>
        </w:rPr>
        <w:t xml:space="preserve">Zgodnie z zapisami rozdziału 6.2 </w:t>
      </w:r>
      <w:r w:rsidRPr="00F66F54">
        <w:rPr>
          <w:rFonts w:ascii="Times New Roman" w:hAnsi="Times New Roman" w:cs="Times New Roman"/>
          <w:i/>
          <w:sz w:val="24"/>
          <w:szCs w:val="24"/>
        </w:rPr>
        <w:t>Wytycznych w zakresie kwalifikowalności wydatków w ramach Europejskiego Funduszu Rozwoju Regionalnego, Europejskiego Funduszu Społecznego oraz Funduszu Spójności na lata 2014-2020</w:t>
      </w:r>
      <w:r w:rsidRPr="00F66F54">
        <w:rPr>
          <w:rFonts w:ascii="Times New Roman" w:hAnsi="Times New Roman" w:cs="Times New Roman"/>
          <w:sz w:val="24"/>
          <w:szCs w:val="24"/>
        </w:rPr>
        <w:t xml:space="preserve"> Wojewódzki Urząd Pracy – Instytucja Pośrednicząca RPOWP 2014-2020 przygotowała dokument dotyczący zestawienia standardu i cen rynkowych w zakresie najczęściej finansowanych wydatków, który jest częścią regulaminu konkursu. Tworząc budżet projektu należy pamiętać o celach EFS i RPOWP 2014-2020. EFS wspiera dążenie do wysokiego poziomu zatrudnienia i wysokiej jakości miejsc pracy, poprawę dostępu do rynku pracy oraz mobilność geograficzną i zawodową pracowników.</w:t>
      </w:r>
    </w:p>
    <w:p w14:paraId="60779957" w14:textId="5A5A46CD" w:rsidR="0071592E" w:rsidRPr="00F66F54" w:rsidRDefault="0071592E" w:rsidP="00442E77">
      <w:pPr>
        <w:spacing w:after="120" w:line="240" w:lineRule="auto"/>
        <w:jc w:val="both"/>
        <w:rPr>
          <w:rFonts w:ascii="Times New Roman" w:hAnsi="Times New Roman" w:cs="Times New Roman"/>
          <w:i/>
          <w:sz w:val="24"/>
          <w:szCs w:val="24"/>
        </w:rPr>
      </w:pPr>
      <w:r w:rsidRPr="00F66F54">
        <w:rPr>
          <w:rFonts w:ascii="Times New Roman" w:hAnsi="Times New Roman" w:cs="Times New Roman"/>
          <w:sz w:val="24"/>
          <w:szCs w:val="24"/>
        </w:rPr>
        <w:t xml:space="preserve">Przedstawione </w:t>
      </w:r>
      <w:r w:rsidRPr="00F66F54">
        <w:rPr>
          <w:rFonts w:ascii="Times New Roman" w:hAnsi="Times New Roman" w:cs="Times New Roman"/>
          <w:i/>
          <w:sz w:val="24"/>
          <w:szCs w:val="24"/>
        </w:rPr>
        <w:t>Zestawienie</w:t>
      </w:r>
      <w:r w:rsidRPr="00F66F54">
        <w:rPr>
          <w:rFonts w:ascii="Times New Roman" w:hAnsi="Times New Roman" w:cs="Times New Roman"/>
          <w:sz w:val="24"/>
          <w:szCs w:val="24"/>
        </w:rPr>
        <w:t xml:space="preserve"> określa koszty najczęściej występujące w projektach, co oznacza, iż przedmiotowy dokument nie stanowi katalogu zamkniętego. Oznacza to, że dopuszcza się ujmowanie w budżecie projektu kosztów, które nie zostały wskazane w katalogu. Aplikując o środki należy posługiwać się zaproponowanym standardem, niemniej należy mieć na uwadze fakt stale zmieniającej się sytuacji na rynku pracy. Wszelkie koszty, które nie zostały ujęte w katalogu, powinny zostać należycie oszacowane, być zgodne z cenami rynkowymi oraz spełniać zasady kwalifikowalności.</w:t>
      </w:r>
    </w:p>
    <w:p w14:paraId="6742845B" w14:textId="749B612D" w:rsidR="008121FC" w:rsidRPr="00F66F54" w:rsidRDefault="005F7367" w:rsidP="00442E77">
      <w:pPr>
        <w:spacing w:after="120" w:line="240" w:lineRule="auto"/>
        <w:jc w:val="both"/>
        <w:rPr>
          <w:rFonts w:ascii="Times New Roman" w:hAnsi="Times New Roman" w:cs="Times New Roman"/>
          <w:sz w:val="24"/>
          <w:szCs w:val="24"/>
        </w:rPr>
      </w:pPr>
      <w:r w:rsidRPr="00F66F54">
        <w:rPr>
          <w:rFonts w:ascii="Times New Roman" w:hAnsi="Times New Roman" w:cs="Times New Roman"/>
          <w:sz w:val="24"/>
          <w:szCs w:val="24"/>
        </w:rPr>
        <w:t>Stawki</w:t>
      </w:r>
      <w:r w:rsidR="00F5430C" w:rsidRPr="00F66F54">
        <w:rPr>
          <w:rStyle w:val="Odwoanieprzypisudolnego"/>
          <w:rFonts w:ascii="Times New Roman" w:hAnsi="Times New Roman" w:cs="Times New Roman"/>
          <w:sz w:val="24"/>
          <w:szCs w:val="24"/>
        </w:rPr>
        <w:footnoteReference w:id="1"/>
      </w:r>
      <w:r w:rsidRPr="00F66F54">
        <w:rPr>
          <w:rFonts w:ascii="Times New Roman" w:hAnsi="Times New Roman" w:cs="Times New Roman"/>
          <w:sz w:val="24"/>
          <w:szCs w:val="24"/>
        </w:rPr>
        <w:t xml:space="preserve"> </w:t>
      </w:r>
      <w:r w:rsidR="00F33E38" w:rsidRPr="00F66F54">
        <w:rPr>
          <w:rFonts w:ascii="Times New Roman" w:hAnsi="Times New Roman" w:cs="Times New Roman"/>
          <w:sz w:val="24"/>
          <w:szCs w:val="24"/>
        </w:rPr>
        <w:t>ujęte w katalogu są stawkami maksymalnymi (uwzględniającymi wartość brutto wydatku), co</w:t>
      </w:r>
      <w:r w:rsidR="00AF690C" w:rsidRPr="00F66F54">
        <w:rPr>
          <w:rFonts w:ascii="Times New Roman" w:hAnsi="Times New Roman" w:cs="Times New Roman"/>
          <w:sz w:val="24"/>
          <w:szCs w:val="24"/>
        </w:rPr>
        <w:t> </w:t>
      </w:r>
      <w:r w:rsidR="00F33E38" w:rsidRPr="00F66F54">
        <w:rPr>
          <w:rFonts w:ascii="Times New Roman" w:hAnsi="Times New Roman" w:cs="Times New Roman"/>
          <w:sz w:val="24"/>
          <w:szCs w:val="24"/>
        </w:rPr>
        <w:t>jednak nie oznacza automatycznego akceptowania przez oceniających założonych kosztów na ich maksymalnym poziomie. Określenie stawek maksymalnych nie zwalnia członków Komisji Oceny Projektów z weryfikacji zasadności i racjonalności wszystkich wydatków, również tych mieszczących się poniżej maksymalnego poziomu kosztu ustalonego przez Wojewódzki Urząd Pracy w Białymstoku. Przyjęcie stawki maksymalnej nie oznacza, że będzie ona akceptowana w każdym projekcie, ponieważ podczas oceny będą brane pod uwagę takie czynniki jak np. stopień złożoności projektu, wielkość grupy docelowej, wielkość zespołu projektowego. Fakt wskazania z przedstawionego zestawienia stawki we wniosku o dofinasowanie nie może być podstawą beneficjenta do uzasadnienia wydatku uznanego za niekwalifikowalny na etapie zatwierdzania wniosku o płatność i/lub kontroli (w</w:t>
      </w:r>
      <w:r w:rsidR="00AF690C" w:rsidRPr="00F66F54">
        <w:rPr>
          <w:rFonts w:ascii="Times New Roman" w:hAnsi="Times New Roman" w:cs="Times New Roman"/>
          <w:sz w:val="24"/>
          <w:szCs w:val="24"/>
        </w:rPr>
        <w:t> </w:t>
      </w:r>
      <w:r w:rsidR="00F33E38" w:rsidRPr="00F66F54">
        <w:rPr>
          <w:rFonts w:ascii="Times New Roman" w:hAnsi="Times New Roman" w:cs="Times New Roman"/>
          <w:sz w:val="24"/>
          <w:szCs w:val="24"/>
        </w:rPr>
        <w:t>przypadku gdy wystąpią podstawy do uznania wydatków za niekwalifikowalne). Należy pamiętać, że Wojewódzki Urząd Pracy w Białymstoku będzie weryfikował zasadność i racjonalność na poziomie całego projektu, zadań, poszczególnych wydatków, w kontekście wszystkich projektów realizowanych przez beneficjenta oraz w kontekście  potencjału finansowego, kadrowego i technicznego beneficjenta.</w:t>
      </w:r>
    </w:p>
    <w:p w14:paraId="6FD489E1" w14:textId="47BA6C9B" w:rsidR="00442E77" w:rsidRPr="00F66F54" w:rsidRDefault="00442E77" w:rsidP="00442E77">
      <w:pPr>
        <w:spacing w:after="120" w:line="240" w:lineRule="auto"/>
        <w:jc w:val="both"/>
        <w:rPr>
          <w:rFonts w:ascii="Times New Roman" w:hAnsi="Times New Roman" w:cs="Times New Roman"/>
          <w:sz w:val="24"/>
          <w:szCs w:val="24"/>
        </w:rPr>
      </w:pPr>
    </w:p>
    <w:p w14:paraId="55E5577D" w14:textId="77777777" w:rsidR="00442E77" w:rsidRPr="00F66F54" w:rsidRDefault="00442E77" w:rsidP="00442E77">
      <w:pPr>
        <w:spacing w:after="120" w:line="24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015"/>
        <w:gridCol w:w="81"/>
        <w:gridCol w:w="4599"/>
        <w:gridCol w:w="100"/>
        <w:gridCol w:w="1975"/>
      </w:tblGrid>
      <w:tr w:rsidR="003701F1" w:rsidRPr="00F66F54" w14:paraId="5673C8FE" w14:textId="77777777" w:rsidTr="00796CF8">
        <w:trPr>
          <w:trHeight w:hRule="exact" w:val="454"/>
        </w:trPr>
        <w:tc>
          <w:tcPr>
            <w:tcW w:w="9770" w:type="dxa"/>
            <w:gridSpan w:val="5"/>
            <w:shd w:val="clear" w:color="auto" w:fill="C6D9F1" w:themeFill="text2" w:themeFillTint="33"/>
            <w:vAlign w:val="center"/>
          </w:tcPr>
          <w:p w14:paraId="7432A869" w14:textId="5658AD2F" w:rsidR="003701F1" w:rsidRPr="00F66F54" w:rsidRDefault="003701F1" w:rsidP="003701F1">
            <w:pPr>
              <w:jc w:val="center"/>
              <w:rPr>
                <w:rFonts w:ascii="Times New Roman" w:hAnsi="Times New Roman" w:cs="Times New Roman"/>
                <w:b/>
                <w:sz w:val="24"/>
                <w:szCs w:val="24"/>
              </w:rPr>
            </w:pPr>
            <w:r w:rsidRPr="00F66F54">
              <w:rPr>
                <w:rFonts w:ascii="Times New Roman" w:hAnsi="Times New Roman" w:cs="Times New Roman"/>
                <w:b/>
                <w:sz w:val="24"/>
                <w:szCs w:val="24"/>
              </w:rPr>
              <w:lastRenderedPageBreak/>
              <w:t>Identyfikacja potrzeb uczestników projektów</w:t>
            </w:r>
          </w:p>
        </w:tc>
      </w:tr>
      <w:tr w:rsidR="003701F1" w:rsidRPr="00F66F54" w14:paraId="1CECDE60" w14:textId="77777777" w:rsidTr="0055491A">
        <w:tc>
          <w:tcPr>
            <w:tcW w:w="9770" w:type="dxa"/>
            <w:gridSpan w:val="5"/>
            <w:shd w:val="clear" w:color="auto" w:fill="auto"/>
          </w:tcPr>
          <w:p w14:paraId="22F8CC4D" w14:textId="754A21B9" w:rsidR="003701F1" w:rsidRDefault="003701F1" w:rsidP="003701F1">
            <w:pPr>
              <w:autoSpaceDE w:val="0"/>
              <w:autoSpaceDN w:val="0"/>
              <w:adjustRightInd w:val="0"/>
              <w:jc w:val="both"/>
              <w:rPr>
                <w:rFonts w:ascii="Times New Roman" w:hAnsi="Times New Roman" w:cs="Times New Roman"/>
                <w:b/>
                <w:sz w:val="24"/>
                <w:szCs w:val="24"/>
              </w:rPr>
            </w:pPr>
            <w:r w:rsidRPr="00F66F54">
              <w:rPr>
                <w:rFonts w:ascii="Times New Roman" w:hAnsi="Times New Roman" w:cs="Times New Roman"/>
                <w:b/>
                <w:sz w:val="24"/>
                <w:szCs w:val="24"/>
              </w:rPr>
              <w:t>Spis skrótów:</w:t>
            </w:r>
          </w:p>
          <w:p w14:paraId="37FCBCA1" w14:textId="77777777" w:rsidR="00F66F54" w:rsidRPr="00F66F54" w:rsidRDefault="00F66F54" w:rsidP="003701F1">
            <w:pPr>
              <w:autoSpaceDE w:val="0"/>
              <w:autoSpaceDN w:val="0"/>
              <w:adjustRightInd w:val="0"/>
              <w:jc w:val="both"/>
              <w:rPr>
                <w:rFonts w:ascii="Times New Roman" w:hAnsi="Times New Roman" w:cs="Times New Roman"/>
                <w:b/>
                <w:sz w:val="24"/>
                <w:szCs w:val="24"/>
              </w:rPr>
            </w:pPr>
          </w:p>
          <w:p w14:paraId="67BCD69B" w14:textId="77777777" w:rsidR="003701F1" w:rsidRPr="00F66F54" w:rsidRDefault="003701F1" w:rsidP="003701F1">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b/>
                <w:sz w:val="24"/>
                <w:szCs w:val="24"/>
              </w:rPr>
              <w:t>CT 8</w:t>
            </w:r>
            <w:r w:rsidRPr="00F66F54">
              <w:rPr>
                <w:rFonts w:ascii="Times New Roman" w:hAnsi="Times New Roman" w:cs="Times New Roman"/>
                <w:sz w:val="24"/>
                <w:szCs w:val="24"/>
              </w:rPr>
              <w:t xml:space="preserve"> – Cel Tematyczny 8 </w:t>
            </w:r>
            <w:r w:rsidRPr="00F66F54">
              <w:rPr>
                <w:rFonts w:ascii="Times New Roman" w:hAnsi="Times New Roman" w:cs="Times New Roman"/>
                <w:i/>
                <w:sz w:val="24"/>
                <w:szCs w:val="24"/>
              </w:rPr>
              <w:t>Promowanie trwałego i wysokiej jakości zatrudnienia oraz wsparcie mobilności pracowników</w:t>
            </w:r>
            <w:r w:rsidRPr="00F66F54">
              <w:rPr>
                <w:rFonts w:ascii="Times New Roman" w:hAnsi="Times New Roman" w:cs="Times New Roman"/>
                <w:sz w:val="24"/>
                <w:szCs w:val="24"/>
              </w:rPr>
              <w:t xml:space="preserve"> dotyczy projektów realizowanych m.in. w ramach Priorytetu inwestycyjnego 8i: Dostęp do zatrudnienia dla osób poszukujących pracy i osób biernych zawodowo, w tym długotrwale bezrobotnych oraz oddalonych od rynku pracy, także poprzez lokalne inicjatywy na rzecz zatrudnienia oraz wspieranie mobilności pracowników (Działanie 2.1 RPOWP)</w:t>
            </w:r>
          </w:p>
          <w:p w14:paraId="5281E81A" w14:textId="77777777" w:rsidR="003701F1" w:rsidRPr="00F66F54" w:rsidRDefault="003701F1" w:rsidP="003701F1">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b/>
                <w:sz w:val="24"/>
                <w:szCs w:val="24"/>
              </w:rPr>
              <w:t>CT 9</w:t>
            </w:r>
            <w:r w:rsidRPr="00F66F54">
              <w:rPr>
                <w:rFonts w:ascii="Times New Roman" w:hAnsi="Times New Roman" w:cs="Times New Roman"/>
                <w:sz w:val="24"/>
                <w:szCs w:val="24"/>
              </w:rPr>
              <w:t xml:space="preserve"> – Cel Tematyczny 9 </w:t>
            </w:r>
            <w:r w:rsidRPr="00F66F54">
              <w:rPr>
                <w:rFonts w:ascii="Times New Roman" w:hAnsi="Times New Roman" w:cs="Times New Roman"/>
                <w:i/>
                <w:sz w:val="24"/>
                <w:szCs w:val="24"/>
              </w:rPr>
              <w:t>Promowanie wyłączenia społecznego, walka z ubóstwem i wszelką dyskryminacją</w:t>
            </w:r>
            <w:r w:rsidRPr="00F66F54">
              <w:rPr>
                <w:rFonts w:ascii="Times New Roman" w:hAnsi="Times New Roman" w:cs="Times New Roman"/>
                <w:sz w:val="24"/>
                <w:szCs w:val="24"/>
              </w:rPr>
              <w:t xml:space="preserve"> dotyczy projektów realizowanych w ramach następujących Priorytetów inwestycyjnych:</w:t>
            </w:r>
          </w:p>
          <w:p w14:paraId="5CB20795" w14:textId="77777777" w:rsidR="003701F1" w:rsidRPr="00F66F54" w:rsidRDefault="003701F1" w:rsidP="003701F1">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9a: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 (Działanie 8.4 RPOWP)</w:t>
            </w:r>
          </w:p>
          <w:p w14:paraId="34D9CCAD" w14:textId="77777777" w:rsidR="003701F1" w:rsidRPr="00F66F54" w:rsidRDefault="003701F1" w:rsidP="003701F1">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9b: Wspieranie rewitalizacji fizycznej, gospodarczej i społecznej ubogich społeczności na obszarach miejskich i wiejskich (Działanie 8.5 RPOWP)</w:t>
            </w:r>
          </w:p>
          <w:p w14:paraId="228DD1C1" w14:textId="77777777" w:rsidR="003701F1" w:rsidRPr="00F66F54" w:rsidRDefault="003701F1" w:rsidP="003701F1">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9i: Aktywne włączenie, w tym z myślą o promowaniu równych szans oraz aktywnego uczestnictwa i zwiększaniu szans na zatrudnienie (Działanie 7.1 RPOWP)</w:t>
            </w:r>
          </w:p>
          <w:p w14:paraId="35B4A8D7" w14:textId="77777777" w:rsidR="003701F1" w:rsidRPr="00F66F54" w:rsidRDefault="003701F1" w:rsidP="003701F1">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9iv: Ułatwianie dostępu do przystępnych cenowo, trwałych oraz wysokiej jakości usług, w tym opieki zdrowotnej i usług społecznych świadczonych w interesie ogólnym (Działanie 7.2 RPOWP)</w:t>
            </w:r>
          </w:p>
          <w:p w14:paraId="6EBDFDC5" w14:textId="77777777" w:rsidR="003701F1" w:rsidRPr="00F66F54" w:rsidRDefault="003701F1" w:rsidP="003701F1">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9v: Wspieranie przedsiębiorczości społecznej i integracji zawodowej w przedsiębiorstwach społecznych oraz ekonomii społecznej i solidarnej w celu ułatwiania dostępu do zatrudnienia (Działanie 7.3 RPOWP)</w:t>
            </w:r>
          </w:p>
          <w:p w14:paraId="09BD5B37" w14:textId="77777777" w:rsidR="003701F1" w:rsidRPr="00F66F54" w:rsidRDefault="003701F1" w:rsidP="003701F1">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9vi: Strategie rozwoju lokalnego kierowane przez społeczność (Działanie 9.1 RPOWP)</w:t>
            </w:r>
          </w:p>
          <w:p w14:paraId="40610F24" w14:textId="77777777" w:rsidR="003701F1" w:rsidRPr="00F66F54" w:rsidRDefault="003701F1" w:rsidP="003701F1">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9d: Inwestycje dokonywane w kontekście strategii na rzecz rozwoju lokalnego kierowanego przez społeczność (Działanie 8.6 RPOWP)</w:t>
            </w:r>
          </w:p>
          <w:p w14:paraId="668EC0D3" w14:textId="77777777" w:rsidR="003701F1" w:rsidRPr="00F66F54" w:rsidRDefault="003701F1" w:rsidP="003701F1">
            <w:pPr>
              <w:jc w:val="both"/>
              <w:rPr>
                <w:rFonts w:ascii="Times New Roman" w:hAnsi="Times New Roman" w:cs="Times New Roman"/>
                <w:sz w:val="24"/>
                <w:szCs w:val="24"/>
              </w:rPr>
            </w:pPr>
          </w:p>
          <w:p w14:paraId="0D885C4F" w14:textId="77777777" w:rsidR="003701F1" w:rsidRPr="00F66F54" w:rsidRDefault="003701F1" w:rsidP="00796CF8">
            <w:pPr>
              <w:pStyle w:val="Akapitzlist"/>
              <w:numPr>
                <w:ilvl w:val="0"/>
                <w:numId w:val="35"/>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 xml:space="preserve">Udzielenie wsparcia w ramach projektów aktywizacji zawodowej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2 ust. 1 pkt 10a i art. 34a ustawy o promocji zatrudnienia i instytucjach rynku pracy lub innego dokumentu pełniącego analogiczną funkcję. Dokument ten powinien określać zakres wsparcia udzielanego danej osobie, który jest z nią uzgodniony i podlega ewentualnej aktualizacji w trakcie projektu. Standard Indywidualnego Planu Działania stanowi załącznik do niniejszych </w:t>
            </w:r>
            <w:r w:rsidRPr="00F66F54">
              <w:rPr>
                <w:rFonts w:ascii="Times New Roman" w:hAnsi="Times New Roman" w:cs="Times New Roman"/>
                <w:i/>
                <w:iCs/>
                <w:sz w:val="24"/>
                <w:szCs w:val="24"/>
              </w:rPr>
              <w:t>Wytycznych w zakresie realizacji przedsięwzięć z udziałem środków Europejskiego Funduszu Społecznego w obszarze rynku pracy na lata 2014-2020</w:t>
            </w:r>
            <w:r w:rsidRPr="00F66F54">
              <w:rPr>
                <w:rFonts w:ascii="Times New Roman" w:hAnsi="Times New Roman" w:cs="Times New Roman"/>
                <w:sz w:val="24"/>
                <w:szCs w:val="24"/>
              </w:rPr>
              <w:t>.</w:t>
            </w:r>
          </w:p>
          <w:p w14:paraId="434A0DA1" w14:textId="77777777" w:rsidR="003701F1" w:rsidRPr="00F66F54" w:rsidRDefault="003701F1" w:rsidP="00796CF8">
            <w:pPr>
              <w:pStyle w:val="Akapitzlist"/>
              <w:numPr>
                <w:ilvl w:val="0"/>
                <w:numId w:val="35"/>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Wsparcie udzielane w ramach projektów jest dostosowane do indywidualnych potrzeb uczestników projektów, wynikających z ich aktualnego stanu wiedzy, doświadczenia, zdolności i predyspozycji do wykonywania danego zawodu. Każdy z uczestników projektu musi otrzymać ofertę wsparcia, obejmującą takie formy pomocy, które zostaną zidentyfikowane u niego jako niezbędne w celu poprawy sytuacji na rynku pracy lub uzyskania zatrudnienia.</w:t>
            </w:r>
          </w:p>
          <w:p w14:paraId="0AF9A58B" w14:textId="77777777" w:rsidR="003701F1" w:rsidRPr="00F66F54" w:rsidRDefault="003701F1" w:rsidP="00796CF8">
            <w:pPr>
              <w:pStyle w:val="Akapitzlist"/>
              <w:numPr>
                <w:ilvl w:val="0"/>
                <w:numId w:val="35"/>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 xml:space="preserve">W celu zagwarantowania kompleksowego wsparcia w wejściu na rynek pracy w projektach realizowanych w PI 8i możliwe jest zastosowanie wsparcia towarzyszącego o charakterze aktywnej integracji oferowanego w PI 9i. Z drugiej strony, aby zapewnić pełen pakiet działań </w:t>
            </w:r>
            <w:r w:rsidRPr="00F66F54">
              <w:rPr>
                <w:rFonts w:ascii="Times New Roman" w:hAnsi="Times New Roman" w:cs="Times New Roman"/>
                <w:sz w:val="24"/>
                <w:szCs w:val="24"/>
              </w:rPr>
              <w:lastRenderedPageBreak/>
              <w:t>skierowanych do osób oddalonych od rynku pracy, uczestnicy projektów z zakresu aktywnej integracji realizowanych w ramach CT 9 mają możliwość skorzystania z instrumentów aktywnej polityki rynku pracy właściwych dla projektów realizowanych w ramach CT 8.</w:t>
            </w:r>
          </w:p>
          <w:p w14:paraId="265086FC" w14:textId="77777777" w:rsidR="003701F1" w:rsidRPr="00F66F54" w:rsidRDefault="003701F1" w:rsidP="00796CF8">
            <w:pPr>
              <w:pStyle w:val="Akapitzlist"/>
              <w:numPr>
                <w:ilvl w:val="0"/>
                <w:numId w:val="35"/>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 xml:space="preserve">W projektach realizowanych w ramach PI 8i, o których mowa w </w:t>
            </w:r>
            <w:r w:rsidRPr="00F66F54">
              <w:rPr>
                <w:rFonts w:ascii="Times New Roman" w:hAnsi="Times New Roman" w:cs="Times New Roman"/>
                <w:i/>
                <w:iCs/>
                <w:sz w:val="24"/>
                <w:szCs w:val="24"/>
              </w:rPr>
              <w:t>Wytycznych w zakresie realizacji przedsięwzięć z udziałem środków Europejskiego Funduszu Społecznego w obszarze rynku pracy na lata 2014-2020</w:t>
            </w:r>
            <w:r w:rsidRPr="00F66F54">
              <w:rPr>
                <w:rFonts w:ascii="Times New Roman" w:hAnsi="Times New Roman" w:cs="Times New Roman"/>
                <w:sz w:val="24"/>
                <w:szCs w:val="24"/>
              </w:rPr>
              <w:t>, wsparcie udzielane jest w sposób zindywidualizowany, tj. dostosowany do potrzeb i predyspozycji danej osoby i z nią uzgodniony.</w:t>
            </w:r>
          </w:p>
          <w:p w14:paraId="7A5741F1" w14:textId="77777777" w:rsidR="003701F1" w:rsidRPr="00F66F54" w:rsidRDefault="003701F1" w:rsidP="00796CF8">
            <w:pPr>
              <w:pStyle w:val="Akapitzlist"/>
              <w:numPr>
                <w:ilvl w:val="0"/>
                <w:numId w:val="35"/>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 xml:space="preserve">W projektach realizowanych w PI 8i na etapie rekrutacji lub w trakcie realizacji projektów, uczestnicy nie są zobowiązywani do przedstawiania dokumentów potwierdzających lub uprawdopodobniających zamiar ich zatrudnienia przez danego pracodawcę. Powyższy warunek nie ma zastosowania w odniesieniu do oceny efektywności zatrudnieniowej, o której mowa w Podrozdziale 3.2 </w:t>
            </w:r>
            <w:r w:rsidRPr="00F66F54">
              <w:rPr>
                <w:rFonts w:ascii="Times New Roman" w:hAnsi="Times New Roman" w:cs="Times New Roman"/>
                <w:i/>
                <w:iCs/>
                <w:sz w:val="24"/>
                <w:szCs w:val="24"/>
              </w:rPr>
              <w:t>Wytycznych w zakresie realizacji przedsięwzięć z udziałem środków Europejskiego Funduszu Społecznego w obszarze rynku pracy na lata 2014-2020.</w:t>
            </w:r>
          </w:p>
          <w:p w14:paraId="0089B6F0" w14:textId="77777777" w:rsidR="003701F1" w:rsidRPr="00F66F54" w:rsidRDefault="003701F1" w:rsidP="00796CF8">
            <w:pPr>
              <w:pStyle w:val="Akapitzlist"/>
              <w:numPr>
                <w:ilvl w:val="0"/>
                <w:numId w:val="35"/>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Uczestnik projektu zostanie zakwalifikowany do określonego rodzaju wsparcia z zakresu CT 8 lub 9 na podstawie oceny jego potrzeb i predyspozycji dokonanej przez beneficjenta. Wsparcie w zakresie aktywizacji zawodowej osób pozostających bez pracy realizowane w ramach PI 8i będzie kierowane do osób bezrobotnych, którym do aktywizacji zawodowej i powrotu na rynek pracy przede wszystkim niezbędna jest pomoc obejmująca usługi i instrumenty rynku pracy.</w:t>
            </w:r>
          </w:p>
          <w:p w14:paraId="1343E0DD" w14:textId="77777777" w:rsidR="00A506E5" w:rsidRDefault="003701F1" w:rsidP="00A506E5">
            <w:pPr>
              <w:pStyle w:val="Akapitzlist"/>
              <w:numPr>
                <w:ilvl w:val="0"/>
                <w:numId w:val="35"/>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Beneficjenci zobowiązują się do wymiany informacji pomiędzy podmiotami realizującymi projekty w ramach CT 8 i 9 na temat działań podejmowanych da danym obszarze (gmina/powiat). Beneficjenci zobowiązują się m.in. do współpracy i wymiany informacji w zakresie wsparcia udzielanego uczestnikom lub potencjalnym uczestnikom projektów. Podmioty realizujące projekty w ramach CT 8 przekazują informacje beneficjentom projektów CT 9 z gminy/ powiatu, w których realizują projekt, o możliwościach wsparcia, harmonogramie jego realizacji, grupie docelowej oraz warunkach udziału w projekcie. Beneficjenci projektów CT 9 przekazują pozyskane informacje uczestnikom swoich projektów oraz udzielają im ewentualnego wsparcia w procesie rekrutacji.</w:t>
            </w:r>
          </w:p>
          <w:p w14:paraId="520AB557" w14:textId="1DADB124" w:rsidR="00796CF8" w:rsidRPr="00A506E5" w:rsidRDefault="00796CF8" w:rsidP="00A506E5">
            <w:pPr>
              <w:pStyle w:val="Akapitzlist"/>
              <w:numPr>
                <w:ilvl w:val="0"/>
                <w:numId w:val="35"/>
              </w:numPr>
              <w:ind w:left="306" w:hanging="306"/>
              <w:jc w:val="both"/>
              <w:rPr>
                <w:rFonts w:ascii="Times New Roman" w:hAnsi="Times New Roman" w:cs="Times New Roman"/>
                <w:sz w:val="24"/>
                <w:szCs w:val="24"/>
              </w:rPr>
            </w:pPr>
            <w:r w:rsidRPr="00A506E5">
              <w:rPr>
                <w:rFonts w:ascii="Times New Roman" w:hAnsi="Times New Roman" w:cs="Times New Roman"/>
                <w:sz w:val="24"/>
                <w:szCs w:val="24"/>
              </w:rPr>
              <w:t xml:space="preserve">Wsparcie oferowane uczestnikom w ramach projektu </w:t>
            </w:r>
            <w:r w:rsidR="00A506E5">
              <w:rPr>
                <w:rFonts w:ascii="Times New Roman" w:hAnsi="Times New Roman" w:cs="Times New Roman"/>
                <w:sz w:val="24"/>
                <w:szCs w:val="24"/>
              </w:rPr>
              <w:t xml:space="preserve">może </w:t>
            </w:r>
            <w:r w:rsidRPr="00A506E5">
              <w:rPr>
                <w:rFonts w:ascii="Times New Roman" w:hAnsi="Times New Roman" w:cs="Times New Roman"/>
                <w:sz w:val="24"/>
                <w:szCs w:val="24"/>
              </w:rPr>
              <w:t>obejm</w:t>
            </w:r>
            <w:r w:rsidR="00A506E5">
              <w:rPr>
                <w:rFonts w:ascii="Times New Roman" w:hAnsi="Times New Roman" w:cs="Times New Roman"/>
                <w:sz w:val="24"/>
                <w:szCs w:val="24"/>
              </w:rPr>
              <w:t>ować działania</w:t>
            </w:r>
            <w:r w:rsidRPr="00A506E5">
              <w:rPr>
                <w:rFonts w:ascii="Times New Roman" w:hAnsi="Times New Roman" w:cs="Times New Roman"/>
                <w:sz w:val="24"/>
                <w:szCs w:val="24"/>
              </w:rPr>
              <w:t xml:space="preserve"> </w:t>
            </w:r>
            <w:r w:rsidR="00A506E5" w:rsidRPr="00A506E5">
              <w:rPr>
                <w:rFonts w:ascii="Times New Roman" w:hAnsi="Times New Roman" w:cs="Times New Roman"/>
                <w:sz w:val="24"/>
                <w:szCs w:val="24"/>
              </w:rPr>
              <w:t>aktywizujące</w:t>
            </w:r>
            <w:r w:rsidR="00A506E5">
              <w:rPr>
                <w:rFonts w:ascii="Times New Roman" w:hAnsi="Times New Roman" w:cs="Times New Roman"/>
                <w:sz w:val="24"/>
                <w:szCs w:val="24"/>
              </w:rPr>
              <w:t xml:space="preserve"> tj.</w:t>
            </w:r>
            <w:r w:rsidR="00A506E5" w:rsidRPr="00A506E5">
              <w:rPr>
                <w:rFonts w:ascii="Times New Roman" w:hAnsi="Times New Roman" w:cs="Times New Roman"/>
                <w:sz w:val="24"/>
                <w:szCs w:val="24"/>
              </w:rPr>
              <w:t xml:space="preserve"> </w:t>
            </w:r>
            <w:r w:rsidR="00A506E5" w:rsidRPr="00A506E5">
              <w:rPr>
                <w:rFonts w:ascii="Times New Roman" w:hAnsi="Times New Roman" w:cs="Times New Roman"/>
                <w:sz w:val="24"/>
                <w:szCs w:val="24"/>
              </w:rPr>
              <w:t>wsparcie psychologiczno-doradcze,</w:t>
            </w:r>
            <w:r w:rsidR="00A506E5" w:rsidRPr="00A506E5">
              <w:rPr>
                <w:rFonts w:ascii="Times New Roman" w:hAnsi="Times New Roman" w:cs="Times New Roman"/>
                <w:sz w:val="24"/>
                <w:szCs w:val="24"/>
              </w:rPr>
              <w:t xml:space="preserve"> </w:t>
            </w:r>
            <w:r w:rsidR="00A506E5" w:rsidRPr="00A506E5">
              <w:rPr>
                <w:rFonts w:ascii="Times New Roman" w:hAnsi="Times New Roman" w:cs="Times New Roman"/>
                <w:sz w:val="24"/>
                <w:szCs w:val="24"/>
              </w:rPr>
              <w:t>pośrednictwo pracy,</w:t>
            </w:r>
            <w:r w:rsidR="00A506E5" w:rsidRPr="00A506E5">
              <w:rPr>
                <w:rFonts w:ascii="Times New Roman" w:hAnsi="Times New Roman" w:cs="Times New Roman"/>
                <w:sz w:val="24"/>
                <w:szCs w:val="24"/>
              </w:rPr>
              <w:t xml:space="preserve"> </w:t>
            </w:r>
            <w:r w:rsidR="00A506E5" w:rsidRPr="00A506E5">
              <w:rPr>
                <w:rFonts w:ascii="Times New Roman" w:hAnsi="Times New Roman" w:cs="Times New Roman"/>
                <w:sz w:val="24"/>
                <w:szCs w:val="24"/>
              </w:rPr>
              <w:t>poradnictwo zawodowe,</w:t>
            </w:r>
            <w:r w:rsidR="00A506E5" w:rsidRPr="00A506E5">
              <w:rPr>
                <w:rFonts w:ascii="Times New Roman" w:hAnsi="Times New Roman" w:cs="Times New Roman"/>
                <w:sz w:val="24"/>
                <w:szCs w:val="24"/>
              </w:rPr>
              <w:t xml:space="preserve"> </w:t>
            </w:r>
            <w:r w:rsidR="00A506E5" w:rsidRPr="00A506E5">
              <w:rPr>
                <w:rFonts w:ascii="Times New Roman" w:hAnsi="Times New Roman" w:cs="Times New Roman"/>
                <w:sz w:val="24"/>
                <w:szCs w:val="24"/>
              </w:rPr>
              <w:t>warsztaty oraz szkolenia, w tym z zakresu technik aktywnego poszukiwania pracy i ich praktycznego zastosowania,</w:t>
            </w:r>
            <w:r w:rsidR="00A506E5" w:rsidRPr="00A506E5">
              <w:rPr>
                <w:rFonts w:ascii="Times New Roman" w:hAnsi="Times New Roman" w:cs="Times New Roman"/>
                <w:sz w:val="24"/>
                <w:szCs w:val="24"/>
              </w:rPr>
              <w:t xml:space="preserve"> </w:t>
            </w:r>
            <w:r w:rsidR="00A506E5" w:rsidRPr="00A506E5">
              <w:rPr>
                <w:rFonts w:ascii="Times New Roman" w:hAnsi="Times New Roman" w:cs="Times New Roman"/>
                <w:sz w:val="24"/>
                <w:szCs w:val="24"/>
              </w:rPr>
              <w:t>staże, praktyki zawodowe.</w:t>
            </w:r>
          </w:p>
          <w:p w14:paraId="7FDBA99C" w14:textId="77777777" w:rsidR="00796CF8" w:rsidRPr="00F66F54" w:rsidRDefault="00796CF8" w:rsidP="00A506E5">
            <w:pPr>
              <w:pStyle w:val="Akapitzlist"/>
              <w:numPr>
                <w:ilvl w:val="0"/>
                <w:numId w:val="35"/>
              </w:numPr>
              <w:ind w:left="306" w:hanging="284"/>
              <w:jc w:val="both"/>
              <w:rPr>
                <w:rFonts w:ascii="Times New Roman" w:hAnsi="Times New Roman" w:cs="Times New Roman"/>
                <w:sz w:val="24"/>
                <w:szCs w:val="24"/>
              </w:rPr>
            </w:pPr>
            <w:r w:rsidRPr="00F66F54">
              <w:rPr>
                <w:rFonts w:ascii="Times New Roman" w:hAnsi="Times New Roman" w:cs="Times New Roman"/>
                <w:sz w:val="24"/>
                <w:szCs w:val="24"/>
              </w:rPr>
              <w:t>W ramach realizowanych projektów każdorazowo zapewniona jest przejrzystość procesu rekrutacji oraz warunków realizacji poszczególnych form wsparcia.</w:t>
            </w:r>
          </w:p>
          <w:p w14:paraId="2906D22A" w14:textId="77777777" w:rsidR="00796CF8" w:rsidRPr="00F66F54" w:rsidRDefault="00796CF8" w:rsidP="00A506E5">
            <w:pPr>
              <w:pStyle w:val="Akapitzlist"/>
              <w:numPr>
                <w:ilvl w:val="0"/>
                <w:numId w:val="35"/>
              </w:numPr>
              <w:ind w:left="306" w:hanging="426"/>
              <w:jc w:val="both"/>
              <w:rPr>
                <w:rFonts w:ascii="Times New Roman" w:hAnsi="Times New Roman" w:cs="Times New Roman"/>
                <w:sz w:val="24"/>
                <w:szCs w:val="24"/>
              </w:rPr>
            </w:pPr>
            <w:r w:rsidRPr="00F66F54">
              <w:rPr>
                <w:rFonts w:ascii="Times New Roman" w:hAnsi="Times New Roman" w:cs="Times New Roman"/>
                <w:sz w:val="24"/>
                <w:szCs w:val="24"/>
              </w:rPr>
              <w:t>Każdy z uczestników projektu otrzymuje ofertę wsparcia, obejmującą takie formy pomocy, które zostaną zidentyfikowane u niego jako niezbędne w celu poprawy sytuacji na rynku pracy lub uzyskania zatrudnienia.</w:t>
            </w:r>
          </w:p>
          <w:p w14:paraId="4F08BAA3" w14:textId="5F3A4337" w:rsidR="00F66F54" w:rsidRPr="00F66F54" w:rsidRDefault="00796CF8" w:rsidP="00A506E5">
            <w:pPr>
              <w:pStyle w:val="Akapitzlist"/>
              <w:numPr>
                <w:ilvl w:val="0"/>
                <w:numId w:val="35"/>
              </w:numPr>
              <w:ind w:left="306" w:hanging="426"/>
              <w:jc w:val="both"/>
              <w:rPr>
                <w:rFonts w:ascii="Times New Roman" w:hAnsi="Times New Roman" w:cs="Times New Roman"/>
                <w:sz w:val="24"/>
                <w:szCs w:val="24"/>
              </w:rPr>
            </w:pPr>
            <w:r w:rsidRPr="00F66F54">
              <w:rPr>
                <w:rFonts w:ascii="Times New Roman" w:hAnsi="Times New Roman" w:cs="Times New Roman"/>
                <w:sz w:val="24"/>
                <w:szCs w:val="24"/>
              </w:rPr>
              <w:t>Beneficjenci zapewniają możliwość finansowania w projektach ubezpieczenia zdrowotnego dla uczestników nieposiadających prawa do takiego ubezpieczenia z innego tytułu w zależności od zidentyfikowanych potrzeb i na wniosek uczestnika.</w:t>
            </w:r>
          </w:p>
        </w:tc>
      </w:tr>
      <w:tr w:rsidR="003701F1" w:rsidRPr="00F66F54" w14:paraId="433AF98D" w14:textId="77777777" w:rsidTr="00386C92">
        <w:trPr>
          <w:cantSplit/>
        </w:trPr>
        <w:tc>
          <w:tcPr>
            <w:tcW w:w="3015" w:type="dxa"/>
            <w:shd w:val="clear" w:color="auto" w:fill="C6D9F1" w:themeFill="text2" w:themeFillTint="33"/>
            <w:vAlign w:val="center"/>
          </w:tcPr>
          <w:p w14:paraId="1E84AAF6" w14:textId="46F85D29" w:rsidR="003701F1" w:rsidRPr="00F66F54" w:rsidRDefault="003701F1" w:rsidP="003701F1">
            <w:pPr>
              <w:autoSpaceDE w:val="0"/>
              <w:autoSpaceDN w:val="0"/>
              <w:adjustRightInd w:val="0"/>
              <w:jc w:val="center"/>
              <w:rPr>
                <w:rFonts w:ascii="Times New Roman" w:hAnsi="Times New Roman" w:cs="Times New Roman"/>
                <w:b/>
                <w:sz w:val="24"/>
                <w:szCs w:val="24"/>
              </w:rPr>
            </w:pPr>
            <w:r w:rsidRPr="00F66F54">
              <w:rPr>
                <w:rFonts w:ascii="Times New Roman" w:hAnsi="Times New Roman" w:cs="Times New Roman"/>
                <w:sz w:val="24"/>
                <w:szCs w:val="24"/>
              </w:rPr>
              <w:lastRenderedPageBreak/>
              <w:t>Kategoria kosztu/wydatku</w:t>
            </w:r>
          </w:p>
        </w:tc>
        <w:tc>
          <w:tcPr>
            <w:tcW w:w="4780" w:type="dxa"/>
            <w:gridSpan w:val="3"/>
            <w:shd w:val="clear" w:color="auto" w:fill="C6D9F1" w:themeFill="text2" w:themeFillTint="33"/>
            <w:vAlign w:val="center"/>
          </w:tcPr>
          <w:p w14:paraId="629F553D" w14:textId="411AC93B" w:rsidR="003701F1" w:rsidRPr="00F66F54" w:rsidRDefault="003701F1" w:rsidP="003701F1">
            <w:pPr>
              <w:autoSpaceDE w:val="0"/>
              <w:autoSpaceDN w:val="0"/>
              <w:adjustRightInd w:val="0"/>
              <w:jc w:val="center"/>
              <w:rPr>
                <w:rFonts w:ascii="Times New Roman" w:hAnsi="Times New Roman" w:cs="Times New Roman"/>
                <w:b/>
                <w:sz w:val="24"/>
                <w:szCs w:val="24"/>
              </w:rPr>
            </w:pPr>
            <w:r w:rsidRPr="00F66F54">
              <w:rPr>
                <w:rFonts w:ascii="Times New Roman" w:hAnsi="Times New Roman" w:cs="Times New Roman"/>
                <w:sz w:val="24"/>
                <w:szCs w:val="24"/>
              </w:rPr>
              <w:t>Opis wydatku</w:t>
            </w:r>
          </w:p>
        </w:tc>
        <w:tc>
          <w:tcPr>
            <w:tcW w:w="1975" w:type="dxa"/>
            <w:shd w:val="clear" w:color="auto" w:fill="C6D9F1" w:themeFill="text2" w:themeFillTint="33"/>
            <w:vAlign w:val="center"/>
          </w:tcPr>
          <w:p w14:paraId="4B2E1DD3" w14:textId="26F47997" w:rsidR="003701F1" w:rsidRPr="00F66F54" w:rsidRDefault="003701F1" w:rsidP="00F66F54">
            <w:pPr>
              <w:autoSpaceDE w:val="0"/>
              <w:autoSpaceDN w:val="0"/>
              <w:adjustRightInd w:val="0"/>
              <w:ind w:left="-107" w:right="-120"/>
              <w:jc w:val="center"/>
              <w:rPr>
                <w:rFonts w:ascii="Times New Roman" w:hAnsi="Times New Roman" w:cs="Times New Roman"/>
                <w:b/>
                <w:sz w:val="24"/>
                <w:szCs w:val="24"/>
              </w:rPr>
            </w:pPr>
            <w:r w:rsidRPr="00F66F54">
              <w:rPr>
                <w:rFonts w:ascii="Times New Roman" w:hAnsi="Times New Roman" w:cs="Times New Roman"/>
                <w:sz w:val="24"/>
                <w:szCs w:val="24"/>
              </w:rPr>
              <w:t>Cena</w:t>
            </w:r>
            <w:r w:rsidRPr="00F66F54">
              <w:rPr>
                <w:rStyle w:val="Odwoanieprzypisudolnego"/>
                <w:rFonts w:ascii="Times New Roman" w:hAnsi="Times New Roman" w:cs="Times New Roman"/>
                <w:sz w:val="24"/>
                <w:szCs w:val="24"/>
              </w:rPr>
              <w:footnoteReference w:id="2"/>
            </w:r>
            <w:r w:rsidRPr="00F66F54">
              <w:rPr>
                <w:rFonts w:ascii="Times New Roman" w:hAnsi="Times New Roman" w:cs="Times New Roman"/>
                <w:sz w:val="24"/>
                <w:szCs w:val="24"/>
              </w:rPr>
              <w:t xml:space="preserve"> (cena, której poziom nie powinien co do zasady zostać przekroczony)</w:t>
            </w:r>
          </w:p>
        </w:tc>
      </w:tr>
      <w:tr w:rsidR="003701F1" w:rsidRPr="00F66F54" w14:paraId="73D7E658" w14:textId="77777777" w:rsidTr="00796CF8">
        <w:trPr>
          <w:trHeight w:val="499"/>
        </w:trPr>
        <w:tc>
          <w:tcPr>
            <w:tcW w:w="9770" w:type="dxa"/>
            <w:gridSpan w:val="5"/>
            <w:shd w:val="clear" w:color="auto" w:fill="C6D9F1" w:themeFill="text2" w:themeFillTint="33"/>
            <w:vAlign w:val="center"/>
          </w:tcPr>
          <w:p w14:paraId="15658CD1" w14:textId="476E3F49" w:rsidR="003701F1" w:rsidRPr="00F66F54" w:rsidRDefault="003701F1" w:rsidP="003701F1">
            <w:pPr>
              <w:autoSpaceDE w:val="0"/>
              <w:autoSpaceDN w:val="0"/>
              <w:adjustRightInd w:val="0"/>
              <w:jc w:val="center"/>
              <w:rPr>
                <w:rFonts w:ascii="Times New Roman" w:hAnsi="Times New Roman" w:cs="Times New Roman"/>
                <w:sz w:val="24"/>
                <w:szCs w:val="24"/>
              </w:rPr>
            </w:pPr>
            <w:r w:rsidRPr="00F66F54">
              <w:rPr>
                <w:rFonts w:ascii="Times New Roman" w:hAnsi="Times New Roman" w:cs="Times New Roman"/>
                <w:b/>
                <w:sz w:val="24"/>
                <w:szCs w:val="24"/>
              </w:rPr>
              <w:lastRenderedPageBreak/>
              <w:t>Rozeznanie cen</w:t>
            </w:r>
            <w:r w:rsidRPr="00F66F54">
              <w:rPr>
                <w:rFonts w:ascii="Times New Roman" w:hAnsi="Times New Roman" w:cs="Times New Roman"/>
                <w:b/>
                <w:sz w:val="24"/>
                <w:szCs w:val="24"/>
                <w:vertAlign w:val="superscript"/>
              </w:rPr>
              <w:footnoteReference w:id="3"/>
            </w:r>
            <w:r w:rsidRPr="00F66F54">
              <w:rPr>
                <w:rFonts w:ascii="Times New Roman" w:hAnsi="Times New Roman" w:cs="Times New Roman"/>
                <w:b/>
                <w:sz w:val="24"/>
                <w:szCs w:val="24"/>
              </w:rPr>
              <w:t xml:space="preserve"> rynkowych na </w:t>
            </w:r>
            <w:r w:rsidR="00796CF8" w:rsidRPr="00F66F54">
              <w:rPr>
                <w:rFonts w:ascii="Times New Roman" w:hAnsi="Times New Roman" w:cs="Times New Roman"/>
                <w:b/>
                <w:sz w:val="24"/>
                <w:szCs w:val="24"/>
              </w:rPr>
              <w:t>wynagrodzenia</w:t>
            </w:r>
          </w:p>
        </w:tc>
      </w:tr>
      <w:tr w:rsidR="003701F1" w:rsidRPr="00F66F54" w14:paraId="05BF08C9" w14:textId="77777777" w:rsidTr="00386C92">
        <w:tc>
          <w:tcPr>
            <w:tcW w:w="3015" w:type="dxa"/>
            <w:shd w:val="clear" w:color="auto" w:fill="auto"/>
          </w:tcPr>
          <w:p w14:paraId="4D1B4B24" w14:textId="23956858" w:rsidR="003701F1" w:rsidRPr="00F66F54" w:rsidRDefault="003701F1" w:rsidP="003701F1">
            <w:pPr>
              <w:autoSpaceDE w:val="0"/>
              <w:autoSpaceDN w:val="0"/>
              <w:adjustRightInd w:val="0"/>
              <w:jc w:val="center"/>
              <w:rPr>
                <w:rFonts w:ascii="Times New Roman" w:hAnsi="Times New Roman" w:cs="Times New Roman"/>
                <w:sz w:val="24"/>
                <w:szCs w:val="24"/>
              </w:rPr>
            </w:pPr>
            <w:r w:rsidRPr="00F66F54">
              <w:rPr>
                <w:rFonts w:ascii="Times New Roman" w:hAnsi="Times New Roman" w:cs="Times New Roman"/>
                <w:sz w:val="24"/>
                <w:szCs w:val="24"/>
              </w:rPr>
              <w:t>Wynagrodzenie doradcy zawodowego/wynagrodzenie doradcy opracowującego Indywidualny Plan Działania</w:t>
            </w:r>
          </w:p>
        </w:tc>
        <w:tc>
          <w:tcPr>
            <w:tcW w:w="4780" w:type="dxa"/>
            <w:gridSpan w:val="3"/>
            <w:shd w:val="clear" w:color="auto" w:fill="auto"/>
          </w:tcPr>
          <w:p w14:paraId="35D0CE37" w14:textId="77777777" w:rsidR="003701F1" w:rsidRPr="00F66F54" w:rsidRDefault="003701F1" w:rsidP="00796CF8">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Doradca zawodowy/doradca opracowujący IPD posiada wykształcenie wyższe/zawodowe lub certyfikaty/zaświadczenia/inne umożliwiające przeprowadzenie danego wsparcia. Minimalne doświadczenie zawodowe w danej dziedzinie nie powinno być krótsze niż 2 lata.</w:t>
            </w:r>
          </w:p>
          <w:p w14:paraId="2683D595" w14:textId="77777777" w:rsidR="003701F1" w:rsidRPr="00F66F54" w:rsidRDefault="003701F1"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Liczba godzin pomocy powinna być uzależniona od indywidulanych potrzeb klienta, w tym uwzględniać specyfikę grupy docelowej, do której kierowane jest wsparcie (np. większa ilość godzin wsparcia jest zasadna w przypadku uczestników o szczególnych potrzebach np. osoby z niepełnosprawnościami), gdy wynik diagnozy wskazuje na trudności w rozwiązaniu problemu zawodowego. </w:t>
            </w:r>
          </w:p>
          <w:p w14:paraId="2AA57CC3" w14:textId="77777777" w:rsidR="003701F1" w:rsidRPr="00F66F54" w:rsidRDefault="003701F1" w:rsidP="00796CF8">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Przez 1 godzinę wsparcia należy rozumieć 60 minut.</w:t>
            </w:r>
          </w:p>
          <w:p w14:paraId="29B01132" w14:textId="77777777" w:rsidR="003701F1" w:rsidRPr="00F66F54" w:rsidRDefault="003701F1" w:rsidP="00796CF8">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Możliwe jest świadczenie wsparcia doradztwa/ poradnictwa zawodowego w formie indywidualnej oraz grupowej.</w:t>
            </w:r>
          </w:p>
          <w:p w14:paraId="2B1E8530" w14:textId="62906229" w:rsidR="003701F1" w:rsidRPr="00F66F54" w:rsidRDefault="003701F1" w:rsidP="00796CF8">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b/>
                <w:sz w:val="24"/>
                <w:szCs w:val="24"/>
              </w:rPr>
              <w:t>Minimalny zakres IPD</w:t>
            </w:r>
            <w:r w:rsidRPr="00F66F54">
              <w:rPr>
                <w:rFonts w:ascii="Times New Roman" w:hAnsi="Times New Roman" w:cs="Times New Roman"/>
                <w:bCs/>
                <w:sz w:val="24"/>
                <w:szCs w:val="24"/>
              </w:rPr>
              <w:t xml:space="preserve"> w projekcie został określony w Załączniku do </w:t>
            </w:r>
            <w:r w:rsidRPr="00F66F54">
              <w:rPr>
                <w:rFonts w:ascii="Times New Roman" w:hAnsi="Times New Roman" w:cs="Times New Roman"/>
                <w:i/>
                <w:sz w:val="24"/>
                <w:szCs w:val="24"/>
              </w:rPr>
              <w:t xml:space="preserve">Wytycznych w zakresie realizacji przedsięwzięć z udziałem środków Europejskiego Funduszu Społecznego w obszarze rynku pracy na lata 2014-2020 </w:t>
            </w:r>
            <w:r w:rsidRPr="00F66F54">
              <w:rPr>
                <w:rFonts w:ascii="Times New Roman" w:hAnsi="Times New Roman" w:cs="Times New Roman"/>
                <w:bCs/>
                <w:sz w:val="24"/>
                <w:szCs w:val="24"/>
              </w:rPr>
              <w:t>– Indywidualny Plan Działania (IPD) /dokument pełniący analogiczną funkcję, który stanowi załącznik nr 7 regulaminu konkursu.</w:t>
            </w:r>
          </w:p>
        </w:tc>
        <w:tc>
          <w:tcPr>
            <w:tcW w:w="1975" w:type="dxa"/>
            <w:shd w:val="clear" w:color="auto" w:fill="auto"/>
            <w:vAlign w:val="center"/>
          </w:tcPr>
          <w:p w14:paraId="4CE8457F" w14:textId="5812A52C" w:rsidR="003701F1" w:rsidRPr="00F66F54" w:rsidRDefault="003701F1" w:rsidP="003701F1">
            <w:pPr>
              <w:autoSpaceDE w:val="0"/>
              <w:autoSpaceDN w:val="0"/>
              <w:adjustRightInd w:val="0"/>
              <w:jc w:val="center"/>
              <w:rPr>
                <w:rFonts w:ascii="Times New Roman" w:hAnsi="Times New Roman" w:cs="Times New Roman"/>
                <w:sz w:val="24"/>
                <w:szCs w:val="24"/>
              </w:rPr>
            </w:pPr>
            <w:r w:rsidRPr="00F66F54">
              <w:rPr>
                <w:rFonts w:ascii="Times New Roman" w:hAnsi="Times New Roman" w:cs="Times New Roman"/>
                <w:sz w:val="24"/>
                <w:szCs w:val="24"/>
              </w:rPr>
              <w:t>83,00 zł /60 minut</w:t>
            </w:r>
          </w:p>
        </w:tc>
      </w:tr>
      <w:tr w:rsidR="003701F1" w:rsidRPr="00F66F54" w14:paraId="76CA4FF4" w14:textId="77777777" w:rsidTr="00386C92">
        <w:tc>
          <w:tcPr>
            <w:tcW w:w="3015" w:type="dxa"/>
            <w:shd w:val="clear" w:color="auto" w:fill="auto"/>
          </w:tcPr>
          <w:p w14:paraId="5F860B9A" w14:textId="5E576080" w:rsidR="003701F1" w:rsidRPr="00F66F54" w:rsidRDefault="003701F1" w:rsidP="003701F1">
            <w:pPr>
              <w:autoSpaceDE w:val="0"/>
              <w:autoSpaceDN w:val="0"/>
              <w:adjustRightInd w:val="0"/>
              <w:jc w:val="center"/>
              <w:rPr>
                <w:rFonts w:ascii="Times New Roman" w:hAnsi="Times New Roman" w:cs="Times New Roman"/>
                <w:sz w:val="24"/>
                <w:szCs w:val="24"/>
              </w:rPr>
            </w:pPr>
            <w:r w:rsidRPr="00F66F54">
              <w:rPr>
                <w:rFonts w:ascii="Times New Roman" w:hAnsi="Times New Roman" w:cs="Times New Roman"/>
                <w:sz w:val="24"/>
                <w:szCs w:val="24"/>
              </w:rPr>
              <w:t>Wsparcie psychologiczne</w:t>
            </w:r>
          </w:p>
        </w:tc>
        <w:tc>
          <w:tcPr>
            <w:tcW w:w="4780" w:type="dxa"/>
            <w:gridSpan w:val="3"/>
            <w:shd w:val="clear" w:color="auto" w:fill="auto"/>
          </w:tcPr>
          <w:p w14:paraId="591DEE55" w14:textId="77777777" w:rsidR="003701F1" w:rsidRPr="00F66F54" w:rsidRDefault="003701F1"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Objęcie wsparciem psychologicznym osób pozostających bez zatrudnienia służyć powinno budowaniu aktywnych postaw na rynku pracy, poprzez wzrost poziomu motywacji do znalezienia zatrudnienia. </w:t>
            </w:r>
          </w:p>
          <w:p w14:paraId="6C4D18EE" w14:textId="2B7163FB" w:rsidR="003701F1" w:rsidRPr="00F66F54" w:rsidRDefault="003701F1" w:rsidP="00796CF8">
            <w:pPr>
              <w:jc w:val="both"/>
              <w:rPr>
                <w:rFonts w:ascii="Times New Roman" w:hAnsi="Times New Roman" w:cs="Times New Roman"/>
                <w:sz w:val="24"/>
                <w:szCs w:val="24"/>
              </w:rPr>
            </w:pPr>
            <w:r w:rsidRPr="00F66F54">
              <w:rPr>
                <w:rFonts w:ascii="Times New Roman" w:hAnsi="Times New Roman" w:cs="Times New Roman"/>
                <w:sz w:val="24"/>
                <w:szCs w:val="24"/>
              </w:rPr>
              <w:t>Wydatek może być uznany za kwalifikowalny, o ile jest to uzasadnione specyfiką realizowanego projektu, a psycholog posiada wykształcenie wyższe/ zawodowe lub certyfikaty/ zaświadczenia/ inne umożliwiające przeprowadzenie danego wsparcia</w:t>
            </w:r>
            <w:r w:rsidR="00A506E5">
              <w:rPr>
                <w:rFonts w:ascii="Times New Roman" w:hAnsi="Times New Roman" w:cs="Times New Roman"/>
                <w:sz w:val="24"/>
                <w:szCs w:val="24"/>
              </w:rPr>
              <w:t>.</w:t>
            </w:r>
            <w:r w:rsidRPr="00F66F54">
              <w:rPr>
                <w:rFonts w:ascii="Times New Roman" w:hAnsi="Times New Roman" w:cs="Times New Roman"/>
                <w:sz w:val="24"/>
                <w:szCs w:val="24"/>
              </w:rPr>
              <w:t xml:space="preserve"> Przez odpowiednie kwalifikacje należy rozumieć posiadanie wykształcenia psychologicznego oraz doświadczenia związanego z diagnostyką </w:t>
            </w:r>
            <w:r w:rsidRPr="00F66F54">
              <w:rPr>
                <w:rFonts w:ascii="Times New Roman" w:hAnsi="Times New Roman" w:cs="Times New Roman"/>
                <w:sz w:val="24"/>
                <w:szCs w:val="24"/>
              </w:rPr>
              <w:lastRenderedPageBreak/>
              <w:t xml:space="preserve">psychologiczną osób dorosłych, w tym również doradztwem zawodowym, coachingiem. Minimalne doświadczenie zawodowe w danej dziedzinie nie powinno być krótsze niż 2 lata. </w:t>
            </w:r>
          </w:p>
          <w:p w14:paraId="64C24B6F" w14:textId="77777777" w:rsidR="003701F1" w:rsidRPr="00F66F54" w:rsidRDefault="003701F1"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Liczba godzin pomocy psychologicznej powinna być uzależniona od indywidulanych potrzeb klienta, w tym uwzględniać specyfikę grupy docelowej, do której kierowane jest wsparcie (np. większa ilość godzin wsparcia psychologicznego jest zasadna w grupach, gdzie większość lub 100% grupy stanowią uczestnicy o szczególnych potrzebach np. osoby niepełnosprawne), gdy wynik diagnozy wskazuje na trudności w rozwiązaniu problemu zawodowego klienta. O potrzebie konsultacji psychologicznej decyduje doradca zawodowy. </w:t>
            </w:r>
          </w:p>
          <w:p w14:paraId="0CD4CD99" w14:textId="77777777" w:rsidR="003701F1" w:rsidRPr="00F66F54" w:rsidRDefault="003701F1" w:rsidP="00796CF8">
            <w:pPr>
              <w:jc w:val="both"/>
              <w:rPr>
                <w:rFonts w:ascii="Times New Roman" w:hAnsi="Times New Roman" w:cs="Times New Roman"/>
                <w:sz w:val="24"/>
                <w:szCs w:val="24"/>
              </w:rPr>
            </w:pPr>
            <w:r w:rsidRPr="00F66F54">
              <w:rPr>
                <w:rFonts w:ascii="Times New Roman" w:hAnsi="Times New Roman" w:cs="Times New Roman"/>
                <w:sz w:val="24"/>
                <w:szCs w:val="24"/>
              </w:rPr>
              <w:t>Przez 1 godzinę wsparcia należy rozumieć (50 min.).</w:t>
            </w:r>
          </w:p>
          <w:p w14:paraId="34780AC2" w14:textId="5AE02C1D" w:rsidR="003701F1" w:rsidRPr="00F66F54" w:rsidRDefault="003701F1" w:rsidP="00796CF8">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Możliwe jest świadczenie wsparcia psychologicznego w formie indywidualnej oraz grupowej.</w:t>
            </w:r>
          </w:p>
        </w:tc>
        <w:tc>
          <w:tcPr>
            <w:tcW w:w="1975" w:type="dxa"/>
            <w:shd w:val="clear" w:color="auto" w:fill="auto"/>
            <w:vAlign w:val="center"/>
          </w:tcPr>
          <w:p w14:paraId="7C4178F5" w14:textId="650943F4" w:rsidR="003701F1" w:rsidRPr="00F66F54" w:rsidRDefault="003701F1" w:rsidP="003701F1">
            <w:pPr>
              <w:autoSpaceDE w:val="0"/>
              <w:autoSpaceDN w:val="0"/>
              <w:adjustRightInd w:val="0"/>
              <w:jc w:val="center"/>
              <w:rPr>
                <w:rFonts w:ascii="Times New Roman" w:hAnsi="Times New Roman" w:cs="Times New Roman"/>
                <w:sz w:val="24"/>
                <w:szCs w:val="24"/>
              </w:rPr>
            </w:pPr>
            <w:r w:rsidRPr="00F66F54">
              <w:rPr>
                <w:rFonts w:ascii="Times New Roman" w:hAnsi="Times New Roman" w:cs="Times New Roman"/>
                <w:sz w:val="24"/>
                <w:szCs w:val="24"/>
              </w:rPr>
              <w:lastRenderedPageBreak/>
              <w:t>122,00 zł /50 minut</w:t>
            </w:r>
          </w:p>
        </w:tc>
      </w:tr>
      <w:tr w:rsidR="003701F1" w:rsidRPr="00F66F54" w14:paraId="64A7897B" w14:textId="77777777" w:rsidTr="00386C92">
        <w:tc>
          <w:tcPr>
            <w:tcW w:w="3015" w:type="dxa"/>
            <w:shd w:val="clear" w:color="auto" w:fill="auto"/>
          </w:tcPr>
          <w:p w14:paraId="3AEF817B" w14:textId="54951D5A" w:rsidR="003701F1" w:rsidRPr="00F66F54" w:rsidRDefault="00F66F54" w:rsidP="003701F1">
            <w:pPr>
              <w:autoSpaceDE w:val="0"/>
              <w:autoSpaceDN w:val="0"/>
              <w:adjustRightInd w:val="0"/>
              <w:jc w:val="center"/>
              <w:rPr>
                <w:rFonts w:ascii="Times New Roman" w:hAnsi="Times New Roman" w:cs="Times New Roman"/>
                <w:sz w:val="24"/>
                <w:szCs w:val="24"/>
              </w:rPr>
            </w:pPr>
            <w:r w:rsidRPr="00F66F54">
              <w:rPr>
                <w:rFonts w:ascii="Times New Roman" w:hAnsi="Times New Roman" w:cs="Times New Roman"/>
                <w:sz w:val="24"/>
                <w:szCs w:val="24"/>
              </w:rPr>
              <w:t>Wynagrodzenie p</w:t>
            </w:r>
            <w:r w:rsidR="003701F1" w:rsidRPr="00F66F54">
              <w:rPr>
                <w:rFonts w:ascii="Times New Roman" w:hAnsi="Times New Roman" w:cs="Times New Roman"/>
                <w:sz w:val="24"/>
                <w:szCs w:val="24"/>
              </w:rPr>
              <w:t>ośrednik</w:t>
            </w:r>
            <w:r w:rsidRPr="00F66F54">
              <w:rPr>
                <w:rFonts w:ascii="Times New Roman" w:hAnsi="Times New Roman" w:cs="Times New Roman"/>
                <w:sz w:val="24"/>
                <w:szCs w:val="24"/>
              </w:rPr>
              <w:t>a</w:t>
            </w:r>
            <w:r w:rsidR="003701F1" w:rsidRPr="00F66F54">
              <w:rPr>
                <w:rFonts w:ascii="Times New Roman" w:hAnsi="Times New Roman" w:cs="Times New Roman"/>
                <w:sz w:val="24"/>
                <w:szCs w:val="24"/>
              </w:rPr>
              <w:t xml:space="preserve"> pracy</w:t>
            </w:r>
          </w:p>
        </w:tc>
        <w:tc>
          <w:tcPr>
            <w:tcW w:w="4780" w:type="dxa"/>
            <w:gridSpan w:val="3"/>
            <w:shd w:val="clear" w:color="auto" w:fill="auto"/>
          </w:tcPr>
          <w:p w14:paraId="7A1DF6C2" w14:textId="77777777" w:rsidR="003701F1" w:rsidRPr="00F66F54" w:rsidRDefault="003701F1" w:rsidP="00F66F54">
            <w:pPr>
              <w:jc w:val="both"/>
              <w:rPr>
                <w:rFonts w:ascii="Times New Roman" w:hAnsi="Times New Roman" w:cs="Times New Roman"/>
                <w:sz w:val="24"/>
                <w:szCs w:val="24"/>
              </w:rPr>
            </w:pPr>
            <w:r w:rsidRPr="00F66F54">
              <w:rPr>
                <w:rFonts w:ascii="Times New Roman" w:hAnsi="Times New Roman" w:cs="Times New Roman"/>
                <w:sz w:val="24"/>
                <w:szCs w:val="24"/>
              </w:rPr>
              <w:t xml:space="preserve">Pośrednictwo pracy polega w szczególności na wykonywaniu czynności i działań określonych w art. 36 ust.1 ustawy z dnia 20 kwietnia 2004r. o promocji zatrudnienia i instytucjach rynku pracy, mających na celu osiągnięcie efektu polegającego na jak najtrafniejszym doborze odpowiedniej pracy dla osoby poszukującej pracy oraz właściwego kandydata na stanowisko pracy, odpowiadającego oczekiwaniom pracodawcy. </w:t>
            </w:r>
          </w:p>
          <w:p w14:paraId="11473197" w14:textId="6A905DDF" w:rsidR="003701F1" w:rsidRPr="00F66F54" w:rsidRDefault="003701F1" w:rsidP="00F66F54">
            <w:pPr>
              <w:autoSpaceDE w:val="0"/>
              <w:autoSpaceDN w:val="0"/>
              <w:adjustRightInd w:val="0"/>
              <w:jc w:val="both"/>
              <w:rPr>
                <w:rFonts w:ascii="Times New Roman" w:hAnsi="Times New Roman" w:cs="Times New Roman"/>
                <w:sz w:val="24"/>
                <w:szCs w:val="24"/>
              </w:rPr>
            </w:pPr>
            <w:r w:rsidRPr="00F66F54">
              <w:rPr>
                <w:rFonts w:ascii="Times New Roman" w:hAnsi="Times New Roman" w:cs="Times New Roman"/>
                <w:sz w:val="24"/>
                <w:szCs w:val="24"/>
              </w:rPr>
              <w:t>Pośrednictwo pracy powinno być realizowane przez publiczne instytucje rynku pracy (publiczne służby zatrudnienia i Ochotnicze Hufce Pracy) lub agencje zatrudnienia posiadające wpis do rejestru podmiotów prowadzących agencje zatrudnienia.</w:t>
            </w:r>
          </w:p>
        </w:tc>
        <w:tc>
          <w:tcPr>
            <w:tcW w:w="1975" w:type="dxa"/>
            <w:shd w:val="clear" w:color="auto" w:fill="auto"/>
            <w:vAlign w:val="center"/>
          </w:tcPr>
          <w:p w14:paraId="73462287" w14:textId="3F6E1558" w:rsidR="003701F1" w:rsidRPr="00F66F54" w:rsidRDefault="003701F1" w:rsidP="003701F1">
            <w:pPr>
              <w:autoSpaceDE w:val="0"/>
              <w:autoSpaceDN w:val="0"/>
              <w:adjustRightInd w:val="0"/>
              <w:jc w:val="center"/>
              <w:rPr>
                <w:rFonts w:ascii="Times New Roman" w:hAnsi="Times New Roman" w:cs="Times New Roman"/>
                <w:sz w:val="24"/>
                <w:szCs w:val="24"/>
              </w:rPr>
            </w:pPr>
            <w:r w:rsidRPr="00F66F54">
              <w:rPr>
                <w:rFonts w:ascii="Times New Roman" w:hAnsi="Times New Roman" w:cs="Times New Roman"/>
                <w:sz w:val="24"/>
                <w:szCs w:val="24"/>
              </w:rPr>
              <w:t>67,00 zł /60minut</w:t>
            </w:r>
          </w:p>
        </w:tc>
      </w:tr>
      <w:tr w:rsidR="003701F1" w:rsidRPr="00F66F54" w14:paraId="63CA6B39" w14:textId="77777777" w:rsidTr="00796CF8">
        <w:tc>
          <w:tcPr>
            <w:tcW w:w="9770" w:type="dxa"/>
            <w:gridSpan w:val="5"/>
            <w:shd w:val="clear" w:color="auto" w:fill="C6D9F1" w:themeFill="text2" w:themeFillTint="33"/>
            <w:vAlign w:val="center"/>
          </w:tcPr>
          <w:p w14:paraId="784AAC8C" w14:textId="2E17C8C0" w:rsidR="003701F1" w:rsidRPr="00F66F54" w:rsidRDefault="003701F1" w:rsidP="003701F1">
            <w:pPr>
              <w:spacing w:before="120" w:after="120"/>
              <w:jc w:val="center"/>
              <w:rPr>
                <w:rFonts w:ascii="Times New Roman" w:hAnsi="Times New Roman" w:cs="Times New Roman"/>
                <w:sz w:val="24"/>
                <w:szCs w:val="24"/>
              </w:rPr>
            </w:pPr>
            <w:r w:rsidRPr="00F66F54">
              <w:rPr>
                <w:rFonts w:ascii="Times New Roman" w:hAnsi="Times New Roman" w:cs="Times New Roman"/>
                <w:b/>
                <w:sz w:val="24"/>
                <w:szCs w:val="24"/>
              </w:rPr>
              <w:t>Szkolenia</w:t>
            </w:r>
          </w:p>
        </w:tc>
      </w:tr>
      <w:tr w:rsidR="003701F1" w:rsidRPr="00F66F54" w14:paraId="7FD856B3" w14:textId="77777777" w:rsidTr="0055491A">
        <w:tc>
          <w:tcPr>
            <w:tcW w:w="9770" w:type="dxa"/>
            <w:gridSpan w:val="5"/>
            <w:shd w:val="clear" w:color="auto" w:fill="auto"/>
          </w:tcPr>
          <w:p w14:paraId="617D46FD" w14:textId="77777777" w:rsidR="003701F1" w:rsidRPr="00F66F54" w:rsidRDefault="003701F1" w:rsidP="003701F1">
            <w:pPr>
              <w:pStyle w:val="Akapitzlist"/>
              <w:numPr>
                <w:ilvl w:val="0"/>
                <w:numId w:val="23"/>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Szkolenia są zgodne ze zdiagnozowanymi potrzebami i potencjałem uczestnika projektu oraz zdiagnozowanymi potrzebami rynku pracy.</w:t>
            </w:r>
          </w:p>
          <w:p w14:paraId="1E193E90" w14:textId="77777777" w:rsidR="003701F1" w:rsidRPr="00F66F54" w:rsidRDefault="003701F1" w:rsidP="003701F1">
            <w:pPr>
              <w:pStyle w:val="Akapitzlist"/>
              <w:numPr>
                <w:ilvl w:val="0"/>
                <w:numId w:val="23"/>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Usługi szkoleniowe są realizowane przez instytucje posiadające wpis do Rejestrów Instytucji Szkoleniowych prowadzonych przez Wojewódzkie Urzędy Pracy.</w:t>
            </w:r>
          </w:p>
          <w:p w14:paraId="4981EE4F" w14:textId="77777777" w:rsidR="003701F1" w:rsidRPr="00F66F54" w:rsidRDefault="003701F1" w:rsidP="003701F1">
            <w:pPr>
              <w:pStyle w:val="Akapitzlist"/>
              <w:numPr>
                <w:ilvl w:val="0"/>
                <w:numId w:val="23"/>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 xml:space="preserve">Efektem szkolenia ma być nabycie kwalifikacji lub kompetencji (konkretnych efektów uczenia się uzyskiwanych w toku szkolenia) potwierdzonych odpowiednim dokumentem (np. certyfikatem), który powinien zawierać informacje na temat uzyskanych przez uczestnika efektów uczenia się w rozumieniu </w:t>
            </w:r>
            <w:r w:rsidRPr="00F66F54">
              <w:rPr>
                <w:rFonts w:ascii="Times New Roman" w:hAnsi="Times New Roman" w:cs="Times New Roman"/>
                <w:i/>
                <w:iCs/>
                <w:sz w:val="24"/>
                <w:szCs w:val="24"/>
              </w:rPr>
              <w:t>Wytycznych w zakresie monitorowania postępu rzeczowego realizacji programów operacyjnych na lata 2014-2020</w:t>
            </w:r>
            <w:r w:rsidRPr="00F66F54">
              <w:rPr>
                <w:rFonts w:ascii="Times New Roman" w:hAnsi="Times New Roman" w:cs="Times New Roman"/>
                <w:sz w:val="24"/>
                <w:szCs w:val="24"/>
              </w:rPr>
              <w:t xml:space="preserve">. </w:t>
            </w:r>
          </w:p>
          <w:p w14:paraId="18A017EE" w14:textId="77777777" w:rsidR="003701F1" w:rsidRPr="00F66F54" w:rsidRDefault="003701F1" w:rsidP="003701F1">
            <w:pPr>
              <w:pStyle w:val="Akapitzlist"/>
              <w:numPr>
                <w:ilvl w:val="0"/>
                <w:numId w:val="23"/>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lastRenderedPageBreak/>
              <w:t xml:space="preserve">Nabycie kwalifikacji lub kompetencji w rozumieniu </w:t>
            </w:r>
            <w:r w:rsidRPr="00F66F54">
              <w:rPr>
                <w:rFonts w:ascii="Times New Roman" w:hAnsi="Times New Roman" w:cs="Times New Roman"/>
                <w:i/>
                <w:iCs/>
                <w:sz w:val="24"/>
                <w:szCs w:val="24"/>
              </w:rPr>
              <w:t>Wytycznych w zakresie monitorowania postępu rzeczowego realizacji programów operacyjnych na lata 2014-2020</w:t>
            </w:r>
            <w:r w:rsidRPr="00F66F54">
              <w:rPr>
                <w:rFonts w:ascii="Times New Roman" w:hAnsi="Times New Roman" w:cs="Times New Roman"/>
                <w:sz w:val="24"/>
                <w:szCs w:val="24"/>
              </w:rPr>
              <w:t xml:space="preserve"> jest weryfikowane poprzez przeprowadzenie odpowiedniego ich sprawdzenia (np. w formie egzaminu). Na stronie </w:t>
            </w:r>
            <w:hyperlink r:id="rId8" w:history="1">
              <w:r w:rsidRPr="00F66F54">
                <w:rPr>
                  <w:rStyle w:val="Hipercze"/>
                  <w:rFonts w:ascii="Times New Roman" w:hAnsi="Times New Roman" w:cs="Times New Roman"/>
                  <w:color w:val="auto"/>
                  <w:sz w:val="24"/>
                  <w:szCs w:val="24"/>
                </w:rPr>
                <w:t>www.kwalifikacje.praca.gov.pl</w:t>
              </w:r>
            </w:hyperlink>
            <w:r w:rsidRPr="00F66F54">
              <w:rPr>
                <w:rFonts w:ascii="Times New Roman" w:hAnsi="Times New Roman" w:cs="Times New Roman"/>
                <w:sz w:val="24"/>
                <w:szCs w:val="24"/>
              </w:rPr>
              <w:t xml:space="preserve"> udostępnione zostały zasoby bazodanowe wspomagające rozwój jakości kształcenia i szkolenia zawodowego oraz powiązanie usług edukacyjnych z wymaganymi umiejętnościami na rynku pracy. Standardy kwalifikacji i kompetencji zawodowych są punktem odniesienia do tworzenia standardów edukacyjnych, programów nauczania w szkołach zawodowych i na kursach oraz standardów wymagań egzaminacyjnych. Opisy standardów zgromadzone w ww. bazie zapewniają przejrzystość kwalifikacji i kompetencji zawodowych, co ułatwia zatrudnienie i umożliwia uznawanie kwalifikacji zdobytych na różnej drodze (szkolnej, kursowej, poprzez </w:t>
            </w:r>
            <w:proofErr w:type="spellStart"/>
            <w:r w:rsidRPr="00F66F54">
              <w:rPr>
                <w:rFonts w:ascii="Times New Roman" w:hAnsi="Times New Roman" w:cs="Times New Roman"/>
                <w:sz w:val="24"/>
                <w:szCs w:val="24"/>
              </w:rPr>
              <w:t>samouczenie</w:t>
            </w:r>
            <w:proofErr w:type="spellEnd"/>
            <w:r w:rsidRPr="00F66F54">
              <w:rPr>
                <w:rFonts w:ascii="Times New Roman" w:hAnsi="Times New Roman" w:cs="Times New Roman"/>
                <w:sz w:val="24"/>
                <w:szCs w:val="24"/>
              </w:rPr>
              <w:t xml:space="preserve"> się i doświadczenie uzyskane w pracy, itp.). Stosowanie w usługach kształcenia i szkolenia zawodowego standardów kwalifikacji i kompetencji zawodowych gwarantuje porównywalność świadectw i dyplomów, co ułatwia m.in. mobilność zatrudnienia także w skali międzynarodowej. Standardy mogą być również wykorzystywane do tworzenia opisów pracy, wartościowania pracy, selekcji i rekrutacji, ocen pracowniczych, planowania rozwoju zawodowego, doradztwa i poradnictwa zawodowego. </w:t>
            </w:r>
          </w:p>
          <w:p w14:paraId="50C2C706" w14:textId="77777777" w:rsidR="003701F1" w:rsidRPr="00F66F54" w:rsidRDefault="003701F1" w:rsidP="003701F1">
            <w:pPr>
              <w:pStyle w:val="Akapitzlist"/>
              <w:numPr>
                <w:ilvl w:val="0"/>
                <w:numId w:val="23"/>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Osobom uczestniczącym w szkoleniach przysługuje stypendium szkoleniowe</w:t>
            </w:r>
            <w:r w:rsidRPr="00F66F54">
              <w:rPr>
                <w:rStyle w:val="Odwoanieprzypisudolnego"/>
                <w:rFonts w:ascii="Times New Roman" w:hAnsi="Times New Roman" w:cs="Times New Roman"/>
                <w:sz w:val="24"/>
                <w:szCs w:val="24"/>
              </w:rPr>
              <w:footnoteReference w:id="4"/>
            </w:r>
            <w:r w:rsidRPr="00F66F54">
              <w:rPr>
                <w:rFonts w:ascii="Times New Roman" w:hAnsi="Times New Roman" w:cs="Times New Roman"/>
                <w:sz w:val="24"/>
                <w:szCs w:val="24"/>
              </w:rPr>
              <w:t>, które miesięcznie wynosi 120% zasiłku</w:t>
            </w:r>
            <w:r w:rsidRPr="00F66F54">
              <w:rPr>
                <w:rStyle w:val="Odwoanieprzypisudolnego"/>
                <w:rFonts w:ascii="Times New Roman" w:hAnsi="Times New Roman" w:cs="Times New Roman"/>
                <w:sz w:val="24"/>
                <w:szCs w:val="24"/>
              </w:rPr>
              <w:footnoteReference w:id="5"/>
            </w:r>
            <w:r w:rsidRPr="00F66F54">
              <w:rPr>
                <w:rFonts w:ascii="Times New Roman" w:hAnsi="Times New Roman" w:cs="Times New Roman"/>
                <w:sz w:val="24"/>
                <w:szCs w:val="24"/>
              </w:rPr>
              <w:t>, o którym mowa w art. 72 ust. 1 pkt 1 ustawy o promocji zatrudnienia i instytucjach rynku pracy</w:t>
            </w:r>
            <w:r w:rsidRPr="00F66F54">
              <w:rPr>
                <w:rStyle w:val="Odwoanieprzypisudolnego"/>
                <w:rFonts w:ascii="Times New Roman" w:hAnsi="Times New Roman" w:cs="Times New Roman"/>
                <w:sz w:val="24"/>
                <w:szCs w:val="24"/>
              </w:rPr>
              <w:footnoteReference w:id="6"/>
            </w:r>
            <w:r w:rsidRPr="00F66F54">
              <w:rPr>
                <w:rFonts w:ascii="Times New Roman" w:hAnsi="Times New Roman" w:cs="Times New Roman"/>
                <w:sz w:val="24"/>
                <w:szCs w:val="24"/>
              </w:rPr>
              <w:t xml:space="preserve">, jeżeli miesięczna liczba godzin szkolenia wynosi co najmniej 150 godzin; w przypadku niższej miesięcznej liczby godzin szkolenia, wysokość stypendium szkoleniowego ustala się proporcjonalnie, z tym, że stypendium to nie może być niższe niż 20% zasiłku, o którym mowa w art. 72 ust. 1 pkt 1 ustawy o promocji zatrudnienia i instytucjach rynku pracy. </w:t>
            </w:r>
          </w:p>
          <w:p w14:paraId="5B5A088B" w14:textId="77777777" w:rsidR="003701F1" w:rsidRPr="00F66F54" w:rsidRDefault="003701F1" w:rsidP="003701F1">
            <w:pPr>
              <w:pStyle w:val="Akapitzlist"/>
              <w:numPr>
                <w:ilvl w:val="0"/>
                <w:numId w:val="23"/>
              </w:numPr>
              <w:ind w:left="306" w:hanging="306"/>
              <w:jc w:val="both"/>
              <w:rPr>
                <w:rFonts w:ascii="Times New Roman" w:hAnsi="Times New Roman" w:cs="Times New Roman"/>
                <w:sz w:val="24"/>
                <w:szCs w:val="24"/>
              </w:rPr>
            </w:pPr>
            <w:r w:rsidRPr="00F66F54">
              <w:rPr>
                <w:rFonts w:ascii="Times New Roman" w:hAnsi="Times New Roman" w:cs="Times New Roman"/>
                <w:sz w:val="24"/>
                <w:szCs w:val="24"/>
              </w:rPr>
              <w:t>Osoby uczestniczące w szkoleniach podlegają obowiązkowo ubezpieczeniom emerytalnym, rentowym, wypadkowemu i zdrowotnemu</w:t>
            </w:r>
            <w:r w:rsidRPr="00F66F54">
              <w:rPr>
                <w:rStyle w:val="Odwoanieprzypisudolnego"/>
                <w:rFonts w:ascii="Times New Roman" w:hAnsi="Times New Roman" w:cs="Times New Roman"/>
                <w:sz w:val="24"/>
                <w:szCs w:val="24"/>
              </w:rPr>
              <w:footnoteReference w:id="7"/>
            </w:r>
            <w:r w:rsidRPr="00F66F54">
              <w:rPr>
                <w:rFonts w:ascii="Times New Roman" w:hAnsi="Times New Roman" w:cs="Times New Roman"/>
                <w:sz w:val="24"/>
                <w:szCs w:val="24"/>
              </w:rPr>
              <w:t>, jeśli nie mają innych tytułów powodujących obowiązek ubezpieczeń społecznych (art. 6 ust. 1 pkt 9a w związku z art. 9 ust. 6a oraz art. 12 ustawy z dnia 13 października 1998 r. o systemie ubezpieczeń społecznych; art. 66 ust. 1 pkt 24a, art. 75 ust. 9a oraz art. 81 ust. 8 pkt 5a, art. 83 ust 2 oraz art. 85 ust. 6a ustawy z dnia 27 sierpnia 2004 r. o świadczeniach opieki zdrowotnej finansowanych ze środków publicznych). Płatnikiem składek za osoby uczestniczące w szkoleniach jest podmiot kierujący na szkolenie. Koszt składek jest wydatkiem kwalifikowalnym w projekcie, który nie zawiera się w kwocie stypendium szkoleniowego.</w:t>
            </w:r>
          </w:p>
          <w:p w14:paraId="2806B4C2" w14:textId="77777777" w:rsidR="003701F1" w:rsidRPr="00F66F54" w:rsidRDefault="003701F1" w:rsidP="003701F1">
            <w:pPr>
              <w:pStyle w:val="Akapitzlist"/>
              <w:numPr>
                <w:ilvl w:val="0"/>
                <w:numId w:val="23"/>
              </w:numPr>
              <w:ind w:left="306" w:hanging="284"/>
              <w:jc w:val="both"/>
              <w:rPr>
                <w:rFonts w:ascii="Times New Roman" w:hAnsi="Times New Roman" w:cs="Times New Roman"/>
                <w:sz w:val="24"/>
                <w:szCs w:val="24"/>
              </w:rPr>
            </w:pPr>
            <w:r w:rsidRPr="00F66F54">
              <w:rPr>
                <w:rFonts w:ascii="Times New Roman" w:hAnsi="Times New Roman" w:cs="Times New Roman"/>
                <w:sz w:val="24"/>
                <w:szCs w:val="24"/>
              </w:rPr>
              <w:t>Osoba zachowuje prawo do stypendium szkoleniowego za okres udokumentowanej niezdolności do odbywania szkolenia, przypadający w okresie jego trwania, za który na podstawie odrębnych przepisów pracownicy zachowują prawo do wynagrodzenia lub przysługują im zasiłki z ubezpieczenia społecznego w razie choroby lub macierzyństwa.</w:t>
            </w:r>
          </w:p>
          <w:p w14:paraId="24513E69" w14:textId="77777777" w:rsidR="003701F1" w:rsidRPr="00F66F54" w:rsidRDefault="003701F1" w:rsidP="003701F1">
            <w:pPr>
              <w:pStyle w:val="Akapitzlist"/>
              <w:numPr>
                <w:ilvl w:val="0"/>
                <w:numId w:val="23"/>
              </w:numPr>
              <w:ind w:left="306" w:hanging="284"/>
              <w:jc w:val="both"/>
              <w:rPr>
                <w:rFonts w:ascii="Times New Roman" w:hAnsi="Times New Roman" w:cs="Times New Roman"/>
                <w:sz w:val="24"/>
                <w:szCs w:val="24"/>
              </w:rPr>
            </w:pPr>
            <w:r w:rsidRPr="00F66F54">
              <w:rPr>
                <w:rFonts w:ascii="Times New Roman" w:hAnsi="Times New Roman" w:cs="Times New Roman"/>
                <w:sz w:val="24"/>
                <w:szCs w:val="24"/>
              </w:rPr>
              <w:lastRenderedPageBreak/>
              <w:t>Osobom uczestniczącym w szkoleniu, w trakcie jego trwania, można pokryć koszty opieki nad dzieckiem lub dziećmi do lat 7 oraz osobami zależnymi w wysokości wynikającej z wniosku o dofinansowanie.</w:t>
            </w:r>
          </w:p>
          <w:p w14:paraId="5BD40401" w14:textId="77777777" w:rsidR="003701F1" w:rsidRPr="00F66F54" w:rsidRDefault="003701F1" w:rsidP="003701F1">
            <w:pPr>
              <w:pStyle w:val="Akapitzlist"/>
              <w:numPr>
                <w:ilvl w:val="0"/>
                <w:numId w:val="23"/>
              </w:numPr>
              <w:ind w:left="306" w:hanging="284"/>
              <w:jc w:val="both"/>
              <w:rPr>
                <w:rFonts w:ascii="Times New Roman" w:hAnsi="Times New Roman" w:cs="Times New Roman"/>
                <w:sz w:val="24"/>
                <w:szCs w:val="24"/>
              </w:rPr>
            </w:pPr>
            <w:r w:rsidRPr="00F66F54">
              <w:rPr>
                <w:rFonts w:ascii="Times New Roman" w:hAnsi="Times New Roman" w:cs="Times New Roman"/>
                <w:sz w:val="24"/>
                <w:szCs w:val="24"/>
              </w:rPr>
              <w:t>Koszt zakupu ubrań roboczych-  Pracodawca jest obowiązany dostarczyć pracownikowi nieodpłatnie odzież i obuwie robocze, spełniające wymagania określone w Polskich Normach:</w:t>
            </w:r>
          </w:p>
          <w:p w14:paraId="6FAA8D9A" w14:textId="77777777" w:rsidR="003701F1" w:rsidRPr="00F66F54" w:rsidRDefault="003701F1" w:rsidP="003701F1">
            <w:pPr>
              <w:pStyle w:val="Akapitzlist"/>
              <w:numPr>
                <w:ilvl w:val="0"/>
                <w:numId w:val="22"/>
              </w:numPr>
              <w:ind w:left="589" w:hanging="283"/>
              <w:jc w:val="both"/>
              <w:rPr>
                <w:rFonts w:ascii="Times New Roman" w:hAnsi="Times New Roman" w:cs="Times New Roman"/>
                <w:sz w:val="24"/>
                <w:szCs w:val="24"/>
              </w:rPr>
            </w:pPr>
            <w:r w:rsidRPr="00F66F54">
              <w:rPr>
                <w:rFonts w:ascii="Times New Roman" w:hAnsi="Times New Roman" w:cs="Times New Roman"/>
                <w:sz w:val="24"/>
                <w:szCs w:val="24"/>
              </w:rPr>
              <w:t>jeżeli odzież własna pracownika może ulec zniszczeniu lub znacznemu zabrudzeniu;</w:t>
            </w:r>
          </w:p>
          <w:p w14:paraId="64F7572D" w14:textId="7D0734B8" w:rsidR="003701F1" w:rsidRPr="00F66F54" w:rsidRDefault="003701F1" w:rsidP="003701F1">
            <w:pPr>
              <w:jc w:val="both"/>
              <w:rPr>
                <w:rFonts w:ascii="Times New Roman" w:hAnsi="Times New Roman" w:cs="Times New Roman"/>
                <w:sz w:val="24"/>
                <w:szCs w:val="24"/>
              </w:rPr>
            </w:pPr>
            <w:r w:rsidRPr="00F66F54">
              <w:rPr>
                <w:rFonts w:ascii="Times New Roman" w:hAnsi="Times New Roman" w:cs="Times New Roman"/>
                <w:sz w:val="24"/>
                <w:szCs w:val="24"/>
              </w:rPr>
              <w:t>ze względu na wymagania technologiczne, sanitarne lub bezpieczeństwa i higieny pracy.(Kodeks Pracy art. 237</w:t>
            </w:r>
            <w:r w:rsidRPr="00F66F54">
              <w:rPr>
                <w:rFonts w:ascii="Times New Roman" w:hAnsi="Times New Roman" w:cs="Times New Roman"/>
                <w:sz w:val="24"/>
                <w:szCs w:val="24"/>
                <w:vertAlign w:val="superscript"/>
              </w:rPr>
              <w:t>7</w:t>
            </w:r>
            <w:r w:rsidRPr="00F66F54">
              <w:rPr>
                <w:rFonts w:ascii="Times New Roman" w:hAnsi="Times New Roman" w:cs="Times New Roman"/>
                <w:sz w:val="24"/>
                <w:szCs w:val="24"/>
              </w:rPr>
              <w:t xml:space="preserve"> § 1).</w:t>
            </w:r>
          </w:p>
        </w:tc>
      </w:tr>
      <w:tr w:rsidR="00796CF8" w:rsidRPr="00F66F54" w14:paraId="5861E053" w14:textId="77777777" w:rsidTr="00386C92">
        <w:tc>
          <w:tcPr>
            <w:tcW w:w="3096" w:type="dxa"/>
            <w:gridSpan w:val="2"/>
            <w:shd w:val="clear" w:color="auto" w:fill="C6D9F1" w:themeFill="text2" w:themeFillTint="33"/>
            <w:vAlign w:val="center"/>
          </w:tcPr>
          <w:p w14:paraId="461BD693" w14:textId="620E2E46" w:rsidR="00796CF8" w:rsidRPr="00F66F54" w:rsidRDefault="00796CF8" w:rsidP="00796CF8">
            <w:pPr>
              <w:tabs>
                <w:tab w:val="left" w:pos="306"/>
              </w:tabs>
              <w:jc w:val="center"/>
              <w:rPr>
                <w:rFonts w:ascii="Times New Roman" w:hAnsi="Times New Roman" w:cs="Times New Roman"/>
                <w:sz w:val="24"/>
                <w:szCs w:val="24"/>
              </w:rPr>
            </w:pPr>
            <w:r w:rsidRPr="00F66F54">
              <w:rPr>
                <w:rFonts w:ascii="Times New Roman" w:hAnsi="Times New Roman" w:cs="Times New Roman"/>
                <w:sz w:val="24"/>
                <w:szCs w:val="24"/>
              </w:rPr>
              <w:lastRenderedPageBreak/>
              <w:t>Kategoria kosztu/wydatku</w:t>
            </w:r>
          </w:p>
        </w:tc>
        <w:tc>
          <w:tcPr>
            <w:tcW w:w="4599" w:type="dxa"/>
            <w:shd w:val="clear" w:color="auto" w:fill="C6D9F1" w:themeFill="text2" w:themeFillTint="33"/>
            <w:vAlign w:val="center"/>
          </w:tcPr>
          <w:p w14:paraId="3503AD1B" w14:textId="55122CAA"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Opis wydatku</w:t>
            </w:r>
          </w:p>
        </w:tc>
        <w:tc>
          <w:tcPr>
            <w:tcW w:w="2075" w:type="dxa"/>
            <w:gridSpan w:val="2"/>
            <w:shd w:val="clear" w:color="auto" w:fill="C6D9F1" w:themeFill="text2" w:themeFillTint="33"/>
            <w:vAlign w:val="center"/>
          </w:tcPr>
          <w:p w14:paraId="6914A745" w14:textId="65112581" w:rsidR="00796CF8" w:rsidRPr="00F66F54" w:rsidRDefault="00F66F54" w:rsidP="00796CF8">
            <w:pPr>
              <w:jc w:val="center"/>
              <w:rPr>
                <w:rFonts w:ascii="Times New Roman" w:hAnsi="Times New Roman" w:cs="Times New Roman"/>
                <w:sz w:val="24"/>
                <w:szCs w:val="24"/>
              </w:rPr>
            </w:pPr>
            <w:r w:rsidRPr="00F66F54">
              <w:rPr>
                <w:rFonts w:ascii="Times New Roman" w:hAnsi="Times New Roman" w:cs="Times New Roman"/>
                <w:sz w:val="24"/>
                <w:szCs w:val="24"/>
              </w:rPr>
              <w:t>Cena</w:t>
            </w:r>
            <w:r w:rsidRPr="00F66F54">
              <w:rPr>
                <w:rStyle w:val="Odwoanieprzypisudolnego"/>
                <w:rFonts w:ascii="Times New Roman" w:hAnsi="Times New Roman" w:cs="Times New Roman"/>
                <w:sz w:val="24"/>
                <w:szCs w:val="24"/>
              </w:rPr>
              <w:footnoteReference w:id="8"/>
            </w:r>
            <w:r w:rsidRPr="00F66F54">
              <w:rPr>
                <w:rFonts w:ascii="Times New Roman" w:hAnsi="Times New Roman" w:cs="Times New Roman"/>
                <w:sz w:val="24"/>
                <w:szCs w:val="24"/>
              </w:rPr>
              <w:t xml:space="preserve"> (cena, której poziom nie powinien co do zasady zostać przekroczony)</w:t>
            </w:r>
          </w:p>
        </w:tc>
      </w:tr>
      <w:tr w:rsidR="00796CF8" w:rsidRPr="00F66F54" w14:paraId="3FE93A55" w14:textId="77777777" w:rsidTr="00796CF8">
        <w:trPr>
          <w:trHeight w:val="551"/>
        </w:trPr>
        <w:tc>
          <w:tcPr>
            <w:tcW w:w="9770" w:type="dxa"/>
            <w:gridSpan w:val="5"/>
            <w:shd w:val="clear" w:color="auto" w:fill="C6D9F1" w:themeFill="text2" w:themeFillTint="33"/>
            <w:vAlign w:val="center"/>
          </w:tcPr>
          <w:p w14:paraId="51D6FE5E" w14:textId="647D470D"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b/>
                <w:sz w:val="24"/>
                <w:szCs w:val="24"/>
              </w:rPr>
              <w:t>Rozeznanie cen</w:t>
            </w:r>
            <w:r w:rsidRPr="00F66F54">
              <w:rPr>
                <w:rFonts w:ascii="Times New Roman" w:hAnsi="Times New Roman" w:cs="Times New Roman"/>
                <w:b/>
                <w:sz w:val="24"/>
                <w:szCs w:val="24"/>
                <w:vertAlign w:val="superscript"/>
              </w:rPr>
              <w:footnoteReference w:id="9"/>
            </w:r>
            <w:r w:rsidRPr="00F66F54">
              <w:rPr>
                <w:rFonts w:ascii="Times New Roman" w:hAnsi="Times New Roman" w:cs="Times New Roman"/>
                <w:b/>
                <w:sz w:val="24"/>
                <w:szCs w:val="24"/>
              </w:rPr>
              <w:t xml:space="preserve"> rynkowych na </w:t>
            </w:r>
            <w:r w:rsidRPr="00F66F54">
              <w:rPr>
                <w:rFonts w:ascii="Times New Roman" w:hAnsi="Times New Roman" w:cs="Times New Roman"/>
                <w:b/>
                <w:sz w:val="24"/>
                <w:szCs w:val="24"/>
              </w:rPr>
              <w:t>przykładowe szkolenia</w:t>
            </w:r>
          </w:p>
        </w:tc>
      </w:tr>
      <w:tr w:rsidR="00796CF8" w:rsidRPr="00F66F54" w14:paraId="08ACE2C8" w14:textId="77777777" w:rsidTr="00386C92">
        <w:tc>
          <w:tcPr>
            <w:tcW w:w="3096" w:type="dxa"/>
            <w:gridSpan w:val="2"/>
          </w:tcPr>
          <w:p w14:paraId="05AE7DE3" w14:textId="351A81C4" w:rsidR="00796CF8" w:rsidRPr="00F66F54" w:rsidRDefault="00796CF8" w:rsidP="00796CF8">
            <w:pPr>
              <w:tabs>
                <w:tab w:val="left" w:pos="306"/>
              </w:tabs>
              <w:jc w:val="both"/>
              <w:rPr>
                <w:rFonts w:ascii="Times New Roman" w:hAnsi="Times New Roman" w:cs="Times New Roman"/>
                <w:sz w:val="24"/>
                <w:szCs w:val="24"/>
              </w:rPr>
            </w:pPr>
            <w:r w:rsidRPr="00F66F54">
              <w:rPr>
                <w:rFonts w:ascii="Times New Roman" w:hAnsi="Times New Roman" w:cs="Times New Roman"/>
                <w:sz w:val="24"/>
                <w:szCs w:val="24"/>
              </w:rPr>
              <w:t>Kurs na operatora koparki jednonaczyniowej</w:t>
            </w:r>
          </w:p>
        </w:tc>
        <w:tc>
          <w:tcPr>
            <w:tcW w:w="4599" w:type="dxa"/>
          </w:tcPr>
          <w:p w14:paraId="12201375" w14:textId="4D1FC27A"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Cena podana w zestawieniu zawiera program zgodnie z Rozporządzeniem Ministra Gospodarki z dnia 20 września 2001r. </w:t>
            </w:r>
            <w:r w:rsidRPr="007F2B31">
              <w:rPr>
                <w:rFonts w:ascii="Times New Roman" w:hAnsi="Times New Roman" w:cs="Times New Roman"/>
                <w:sz w:val="24"/>
                <w:szCs w:val="24"/>
              </w:rPr>
              <w:t>w sprawie bezpieczeństwa i higieny pracy podczas eksploatacji maszyn i innych urządzeń technicznych do robót ziemnych, budowlanych i drogowych</w:t>
            </w:r>
            <w:r w:rsidR="007F2B31">
              <w:rPr>
                <w:rFonts w:ascii="Times New Roman" w:hAnsi="Times New Roman" w:cs="Times New Roman"/>
                <w:sz w:val="24"/>
                <w:szCs w:val="24"/>
              </w:rPr>
              <w:t xml:space="preserve"> </w:t>
            </w:r>
            <w:r w:rsidR="007F2B31" w:rsidRPr="00F66F54">
              <w:rPr>
                <w:rFonts w:ascii="Times New Roman" w:hAnsi="Times New Roman" w:cs="Times New Roman"/>
                <w:sz w:val="24"/>
                <w:szCs w:val="24"/>
              </w:rPr>
              <w:t>(Dz.U. z 201</w:t>
            </w:r>
            <w:r w:rsidR="007F2B31">
              <w:rPr>
                <w:rFonts w:ascii="Times New Roman" w:hAnsi="Times New Roman" w:cs="Times New Roman"/>
                <w:sz w:val="24"/>
                <w:szCs w:val="24"/>
              </w:rPr>
              <w:t xml:space="preserve">8 </w:t>
            </w:r>
            <w:r w:rsidR="007F2B31" w:rsidRPr="00F66F54">
              <w:rPr>
                <w:rFonts w:ascii="Times New Roman" w:hAnsi="Times New Roman" w:cs="Times New Roman"/>
                <w:sz w:val="24"/>
                <w:szCs w:val="24"/>
              </w:rPr>
              <w:t>r. poz.</w:t>
            </w:r>
            <w:r w:rsidR="007F2B31">
              <w:rPr>
                <w:rFonts w:ascii="Times New Roman" w:hAnsi="Times New Roman" w:cs="Times New Roman"/>
                <w:sz w:val="24"/>
                <w:szCs w:val="24"/>
              </w:rPr>
              <w:t>583</w:t>
            </w:r>
            <w:r w:rsidR="007F2B31">
              <w:rPr>
                <w:rFonts w:ascii="Times New Roman" w:hAnsi="Times New Roman" w:cs="Times New Roman"/>
                <w:sz w:val="24"/>
                <w:szCs w:val="24"/>
              </w:rPr>
              <w:t xml:space="preserve"> </w:t>
            </w:r>
            <w:proofErr w:type="spellStart"/>
            <w:r w:rsidR="007F2B31">
              <w:rPr>
                <w:rFonts w:ascii="Times New Roman" w:hAnsi="Times New Roman" w:cs="Times New Roman"/>
                <w:sz w:val="24"/>
                <w:szCs w:val="24"/>
              </w:rPr>
              <w:t>t</w:t>
            </w:r>
            <w:r w:rsidR="007F2B31">
              <w:rPr>
                <w:rFonts w:ascii="Times New Roman" w:hAnsi="Times New Roman" w:cs="Times New Roman"/>
                <w:sz w:val="24"/>
                <w:szCs w:val="24"/>
              </w:rPr>
              <w:t>.</w:t>
            </w:r>
            <w:r w:rsidR="007F2B31">
              <w:rPr>
                <w:rFonts w:ascii="Times New Roman" w:hAnsi="Times New Roman" w:cs="Times New Roman"/>
                <w:sz w:val="24"/>
                <w:szCs w:val="24"/>
              </w:rPr>
              <w:t>j</w:t>
            </w:r>
            <w:proofErr w:type="spellEnd"/>
            <w:r w:rsidR="007F2B31">
              <w:rPr>
                <w:rFonts w:ascii="Times New Roman" w:hAnsi="Times New Roman" w:cs="Times New Roman"/>
                <w:sz w:val="24"/>
                <w:szCs w:val="24"/>
              </w:rPr>
              <w:t>.</w:t>
            </w:r>
            <w:r w:rsidR="007F2B31" w:rsidRPr="00F66F54">
              <w:rPr>
                <w:rFonts w:ascii="Times New Roman" w:hAnsi="Times New Roman" w:cs="Times New Roman"/>
                <w:sz w:val="24"/>
                <w:szCs w:val="24"/>
              </w:rPr>
              <w:t>).</w:t>
            </w:r>
            <w:r w:rsidRPr="00F66F54">
              <w:rPr>
                <w:rFonts w:ascii="Times New Roman" w:hAnsi="Times New Roman" w:cs="Times New Roman"/>
                <w:i/>
                <w:sz w:val="24"/>
                <w:szCs w:val="24"/>
              </w:rPr>
              <w:t xml:space="preserve"> </w:t>
            </w:r>
            <w:r w:rsidRPr="00F66F54">
              <w:rPr>
                <w:rFonts w:ascii="Times New Roman" w:hAnsi="Times New Roman" w:cs="Times New Roman"/>
                <w:sz w:val="24"/>
                <w:szCs w:val="24"/>
              </w:rPr>
              <w:t>Kwota zawiera opłatę egzaminacyjną wraz z wydaniem uprawnień, natomiast nie zawiera kosztu badań lekarskich. Trener prowadzący szkolenie powinien mieć co najmniej 2 lata doświadczenia zawodowego w zakresie tematyki szkolenia.</w:t>
            </w:r>
          </w:p>
        </w:tc>
        <w:tc>
          <w:tcPr>
            <w:tcW w:w="2075" w:type="dxa"/>
            <w:gridSpan w:val="2"/>
            <w:vAlign w:val="center"/>
          </w:tcPr>
          <w:p w14:paraId="73972680" w14:textId="3DB6EEE3"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2 150,00 zł/osoba</w:t>
            </w:r>
          </w:p>
        </w:tc>
      </w:tr>
      <w:tr w:rsidR="00796CF8" w:rsidRPr="00F66F54" w14:paraId="5FC4D1F3" w14:textId="77777777" w:rsidTr="00386C92">
        <w:tc>
          <w:tcPr>
            <w:tcW w:w="3096" w:type="dxa"/>
            <w:gridSpan w:val="2"/>
          </w:tcPr>
          <w:p w14:paraId="3DE7BD53" w14:textId="1D54C4D0"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Kurs na operatora ładowarki jednonaczyniowej</w:t>
            </w:r>
          </w:p>
        </w:tc>
        <w:tc>
          <w:tcPr>
            <w:tcW w:w="4599" w:type="dxa"/>
          </w:tcPr>
          <w:p w14:paraId="7E56E593" w14:textId="157E960B" w:rsidR="00796CF8" w:rsidRPr="00F66F54" w:rsidRDefault="007F2B31"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Cena podana w zestawieniu zawiera program zgodnie z Rozporządzeniem Ministra Gospodarki z dnia 20 września 2001r. </w:t>
            </w:r>
            <w:r w:rsidRPr="007F2B31">
              <w:rPr>
                <w:rFonts w:ascii="Times New Roman" w:hAnsi="Times New Roman" w:cs="Times New Roman"/>
                <w:sz w:val="24"/>
                <w:szCs w:val="24"/>
              </w:rPr>
              <w:t>w sprawie bezpieczeństwa i higieny pracy podczas eksploatacji maszyn i innych urządzeń technicznych do robót ziemnych, budowlanych i drogowych</w:t>
            </w:r>
            <w:r>
              <w:rPr>
                <w:rFonts w:ascii="Times New Roman" w:hAnsi="Times New Roman" w:cs="Times New Roman"/>
                <w:sz w:val="24"/>
                <w:szCs w:val="24"/>
              </w:rPr>
              <w:t xml:space="preserve"> </w:t>
            </w:r>
            <w:r w:rsidRPr="00F66F54">
              <w:rPr>
                <w:rFonts w:ascii="Times New Roman" w:hAnsi="Times New Roman" w:cs="Times New Roman"/>
                <w:sz w:val="24"/>
                <w:szCs w:val="24"/>
              </w:rPr>
              <w:t>(Dz.U. z 201</w:t>
            </w:r>
            <w:r>
              <w:rPr>
                <w:rFonts w:ascii="Times New Roman" w:hAnsi="Times New Roman" w:cs="Times New Roman"/>
                <w:sz w:val="24"/>
                <w:szCs w:val="24"/>
              </w:rPr>
              <w:t xml:space="preserve">8 </w:t>
            </w:r>
            <w:r w:rsidRPr="00F66F54">
              <w:rPr>
                <w:rFonts w:ascii="Times New Roman" w:hAnsi="Times New Roman" w:cs="Times New Roman"/>
                <w:sz w:val="24"/>
                <w:szCs w:val="24"/>
              </w:rPr>
              <w:t>r. poz.</w:t>
            </w:r>
            <w:r>
              <w:rPr>
                <w:rFonts w:ascii="Times New Roman" w:hAnsi="Times New Roman" w:cs="Times New Roman"/>
                <w:sz w:val="24"/>
                <w:szCs w:val="24"/>
              </w:rPr>
              <w:t xml:space="preserve">583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F66F54">
              <w:rPr>
                <w:rFonts w:ascii="Times New Roman" w:hAnsi="Times New Roman" w:cs="Times New Roman"/>
                <w:sz w:val="24"/>
                <w:szCs w:val="24"/>
              </w:rPr>
              <w:t>).</w:t>
            </w:r>
            <w:r w:rsidRPr="00F66F54">
              <w:rPr>
                <w:rFonts w:ascii="Times New Roman" w:hAnsi="Times New Roman" w:cs="Times New Roman"/>
                <w:i/>
                <w:sz w:val="24"/>
                <w:szCs w:val="24"/>
              </w:rPr>
              <w:t xml:space="preserve"> </w:t>
            </w:r>
            <w:r w:rsidR="00796CF8" w:rsidRPr="00F66F54">
              <w:rPr>
                <w:rFonts w:ascii="Times New Roman" w:hAnsi="Times New Roman" w:cs="Times New Roman"/>
                <w:sz w:val="24"/>
                <w:szCs w:val="24"/>
              </w:rPr>
              <w:t>Kwota zawiera opłatę egzaminacyjną wraz z wydaniem uprawnień, natomiast nie zawiera kosztu badań lekarskich. Trener prowadzący szkolenie powinien mieć co najmniej 2 lata doświadczenia zawodowego w zakresie tematyki szkolenia.</w:t>
            </w:r>
          </w:p>
        </w:tc>
        <w:tc>
          <w:tcPr>
            <w:tcW w:w="2075" w:type="dxa"/>
            <w:gridSpan w:val="2"/>
            <w:vAlign w:val="center"/>
          </w:tcPr>
          <w:p w14:paraId="66B24318" w14:textId="213CB72F"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2 150,00 zł/osoba</w:t>
            </w:r>
          </w:p>
        </w:tc>
      </w:tr>
      <w:tr w:rsidR="00796CF8" w:rsidRPr="00F66F54" w14:paraId="44D39EC5" w14:textId="77777777" w:rsidTr="00386C92">
        <w:tc>
          <w:tcPr>
            <w:tcW w:w="3096" w:type="dxa"/>
            <w:gridSpan w:val="2"/>
          </w:tcPr>
          <w:p w14:paraId="1CB73624" w14:textId="10B9071E"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lastRenderedPageBreak/>
              <w:t>Kurs na operatora spycharki do 110 KW</w:t>
            </w:r>
          </w:p>
        </w:tc>
        <w:tc>
          <w:tcPr>
            <w:tcW w:w="4599" w:type="dxa"/>
          </w:tcPr>
          <w:p w14:paraId="3BA4B4E8" w14:textId="52EEA920" w:rsidR="00796CF8" w:rsidRPr="00F66F54" w:rsidRDefault="007F2B31"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Cena podana w zestawieniu zawiera program zgodnie z Rozporządzeniem Ministra Gospodarki z dnia 20 września 2001r. </w:t>
            </w:r>
            <w:r w:rsidRPr="007F2B31">
              <w:rPr>
                <w:rFonts w:ascii="Times New Roman" w:hAnsi="Times New Roman" w:cs="Times New Roman"/>
                <w:sz w:val="24"/>
                <w:szCs w:val="24"/>
              </w:rPr>
              <w:t>w sprawie bezpieczeństwa i higieny pracy podczas eksploatacji maszyn i innych urządzeń technicznych do robót ziemnych, budowlanych i drogowych</w:t>
            </w:r>
            <w:r>
              <w:rPr>
                <w:rFonts w:ascii="Times New Roman" w:hAnsi="Times New Roman" w:cs="Times New Roman"/>
                <w:sz w:val="24"/>
                <w:szCs w:val="24"/>
              </w:rPr>
              <w:t xml:space="preserve"> </w:t>
            </w:r>
            <w:r w:rsidRPr="00F66F54">
              <w:rPr>
                <w:rFonts w:ascii="Times New Roman" w:hAnsi="Times New Roman" w:cs="Times New Roman"/>
                <w:sz w:val="24"/>
                <w:szCs w:val="24"/>
              </w:rPr>
              <w:t>(Dz.U. z 201</w:t>
            </w:r>
            <w:r>
              <w:rPr>
                <w:rFonts w:ascii="Times New Roman" w:hAnsi="Times New Roman" w:cs="Times New Roman"/>
                <w:sz w:val="24"/>
                <w:szCs w:val="24"/>
              </w:rPr>
              <w:t xml:space="preserve">8 </w:t>
            </w:r>
            <w:r w:rsidRPr="00F66F54">
              <w:rPr>
                <w:rFonts w:ascii="Times New Roman" w:hAnsi="Times New Roman" w:cs="Times New Roman"/>
                <w:sz w:val="24"/>
                <w:szCs w:val="24"/>
              </w:rPr>
              <w:t>r. poz.</w:t>
            </w:r>
            <w:r>
              <w:rPr>
                <w:rFonts w:ascii="Times New Roman" w:hAnsi="Times New Roman" w:cs="Times New Roman"/>
                <w:sz w:val="24"/>
                <w:szCs w:val="24"/>
              </w:rPr>
              <w:t xml:space="preserve">583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F66F54">
              <w:rPr>
                <w:rFonts w:ascii="Times New Roman" w:hAnsi="Times New Roman" w:cs="Times New Roman"/>
                <w:sz w:val="24"/>
                <w:szCs w:val="24"/>
              </w:rPr>
              <w:t>).</w:t>
            </w:r>
            <w:r w:rsidRPr="00F66F54">
              <w:rPr>
                <w:rFonts w:ascii="Times New Roman" w:hAnsi="Times New Roman" w:cs="Times New Roman"/>
                <w:i/>
                <w:sz w:val="24"/>
                <w:szCs w:val="24"/>
              </w:rPr>
              <w:t xml:space="preserve"> </w:t>
            </w:r>
            <w:r w:rsidR="00796CF8" w:rsidRPr="00F66F54">
              <w:rPr>
                <w:rFonts w:ascii="Times New Roman" w:hAnsi="Times New Roman" w:cs="Times New Roman"/>
                <w:sz w:val="24"/>
                <w:szCs w:val="24"/>
              </w:rPr>
              <w:t>Kwota zawiera opłatę egzaminacyjną wraz z wydaniem uprawnień, natomiast nie zawiera kosztu badań lekarskich. Trener prowadzący szkolenie powinien mieć co najmniej 2 lata doświadczenia zawodowego w zakresie tematyki szkolenia.</w:t>
            </w:r>
          </w:p>
        </w:tc>
        <w:tc>
          <w:tcPr>
            <w:tcW w:w="2075" w:type="dxa"/>
            <w:gridSpan w:val="2"/>
            <w:vAlign w:val="center"/>
          </w:tcPr>
          <w:p w14:paraId="38BCFA1B" w14:textId="71F1997D"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1 916,00 zł/osoba</w:t>
            </w:r>
          </w:p>
        </w:tc>
      </w:tr>
      <w:tr w:rsidR="00796CF8" w:rsidRPr="00F66F54" w14:paraId="3F39B8B7" w14:textId="77777777" w:rsidTr="00386C92">
        <w:tc>
          <w:tcPr>
            <w:tcW w:w="3096" w:type="dxa"/>
            <w:gridSpan w:val="2"/>
          </w:tcPr>
          <w:p w14:paraId="057ED7EB" w14:textId="7D97BAFF"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Kurs na operatora koparko-ładowarki</w:t>
            </w:r>
          </w:p>
        </w:tc>
        <w:tc>
          <w:tcPr>
            <w:tcW w:w="4599" w:type="dxa"/>
          </w:tcPr>
          <w:p w14:paraId="6E2DF882" w14:textId="753BD3C3" w:rsidR="00796CF8" w:rsidRPr="00F66F54" w:rsidRDefault="007F2B31"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Cena podana w zestawieniu zawiera program zgodnie z Rozporządzeniem Ministra Gospodarki z dnia 20 września 2001r. </w:t>
            </w:r>
            <w:r w:rsidRPr="007F2B31">
              <w:rPr>
                <w:rFonts w:ascii="Times New Roman" w:hAnsi="Times New Roman" w:cs="Times New Roman"/>
                <w:sz w:val="24"/>
                <w:szCs w:val="24"/>
              </w:rPr>
              <w:t>w sprawie bezpieczeństwa i higieny pracy podczas eksploatacji maszyn i innych urządzeń technicznych do robót ziemnych, budowlanych i drogowych</w:t>
            </w:r>
            <w:r>
              <w:rPr>
                <w:rFonts w:ascii="Times New Roman" w:hAnsi="Times New Roman" w:cs="Times New Roman"/>
                <w:sz w:val="24"/>
                <w:szCs w:val="24"/>
              </w:rPr>
              <w:t xml:space="preserve"> </w:t>
            </w:r>
            <w:r w:rsidRPr="00F66F54">
              <w:rPr>
                <w:rFonts w:ascii="Times New Roman" w:hAnsi="Times New Roman" w:cs="Times New Roman"/>
                <w:sz w:val="24"/>
                <w:szCs w:val="24"/>
              </w:rPr>
              <w:t>(Dz.U. z 201</w:t>
            </w:r>
            <w:r>
              <w:rPr>
                <w:rFonts w:ascii="Times New Roman" w:hAnsi="Times New Roman" w:cs="Times New Roman"/>
                <w:sz w:val="24"/>
                <w:szCs w:val="24"/>
              </w:rPr>
              <w:t xml:space="preserve">8 </w:t>
            </w:r>
            <w:r w:rsidRPr="00F66F54">
              <w:rPr>
                <w:rFonts w:ascii="Times New Roman" w:hAnsi="Times New Roman" w:cs="Times New Roman"/>
                <w:sz w:val="24"/>
                <w:szCs w:val="24"/>
              </w:rPr>
              <w:t>r. poz.</w:t>
            </w:r>
            <w:r>
              <w:rPr>
                <w:rFonts w:ascii="Times New Roman" w:hAnsi="Times New Roman" w:cs="Times New Roman"/>
                <w:sz w:val="24"/>
                <w:szCs w:val="24"/>
              </w:rPr>
              <w:t xml:space="preserve">583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F66F54">
              <w:rPr>
                <w:rFonts w:ascii="Times New Roman" w:hAnsi="Times New Roman" w:cs="Times New Roman"/>
                <w:sz w:val="24"/>
                <w:szCs w:val="24"/>
              </w:rPr>
              <w:t>).</w:t>
            </w:r>
            <w:r w:rsidRPr="00F66F54">
              <w:rPr>
                <w:rFonts w:ascii="Times New Roman" w:hAnsi="Times New Roman" w:cs="Times New Roman"/>
                <w:i/>
                <w:sz w:val="24"/>
                <w:szCs w:val="24"/>
              </w:rPr>
              <w:t xml:space="preserve"> </w:t>
            </w:r>
            <w:r w:rsidR="00796CF8" w:rsidRPr="00F66F54">
              <w:rPr>
                <w:rFonts w:ascii="Times New Roman" w:hAnsi="Times New Roman" w:cs="Times New Roman"/>
                <w:sz w:val="24"/>
                <w:szCs w:val="24"/>
              </w:rPr>
              <w:t>Kwota zawiera opłatę egzaminacyjną wraz z wydaniem uprawnień, natomiast nie zawiera kosztu badań lekarskich. Trener prowadzący szkolenie powinien mieć co najmniej 2 lata doświadczenia zawodowego w zakresie tematyki szkolenia.</w:t>
            </w:r>
          </w:p>
        </w:tc>
        <w:tc>
          <w:tcPr>
            <w:tcW w:w="2075" w:type="dxa"/>
            <w:gridSpan w:val="2"/>
            <w:vAlign w:val="center"/>
          </w:tcPr>
          <w:p w14:paraId="74A37E85" w14:textId="36E1A2AD"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1 667,00 zł/osoba</w:t>
            </w:r>
          </w:p>
        </w:tc>
      </w:tr>
      <w:tr w:rsidR="00796CF8" w:rsidRPr="00F66F54" w14:paraId="64E54D0A" w14:textId="77777777" w:rsidTr="00386C92">
        <w:tc>
          <w:tcPr>
            <w:tcW w:w="3096" w:type="dxa"/>
            <w:gridSpan w:val="2"/>
          </w:tcPr>
          <w:p w14:paraId="1AC21A23" w14:textId="528F753B"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Napełnianie zbiorników LPG gaz – obsługa stacji autogaz</w:t>
            </w:r>
          </w:p>
        </w:tc>
        <w:tc>
          <w:tcPr>
            <w:tcW w:w="4599" w:type="dxa"/>
          </w:tcPr>
          <w:p w14:paraId="23716EAF"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zawiera opłatę egzaminacyjną wraz z wydaniem uprawnień, natomiast nie zawiera kosztu badań lekarskich. Trener prowadzący szkolenie powinien mieć co najmniej 2 lata doświadczenia zawodowego w zakresie tematyki szkolenia.</w:t>
            </w:r>
          </w:p>
        </w:tc>
        <w:tc>
          <w:tcPr>
            <w:tcW w:w="2075" w:type="dxa"/>
            <w:gridSpan w:val="2"/>
            <w:vAlign w:val="center"/>
          </w:tcPr>
          <w:p w14:paraId="51AFEB5E" w14:textId="70164306"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750,00 zł/osoba</w:t>
            </w:r>
          </w:p>
        </w:tc>
      </w:tr>
      <w:tr w:rsidR="00796CF8" w:rsidRPr="00F66F54" w14:paraId="72FD1536" w14:textId="77777777" w:rsidTr="00386C92">
        <w:tc>
          <w:tcPr>
            <w:tcW w:w="3096" w:type="dxa"/>
            <w:gridSpan w:val="2"/>
          </w:tcPr>
          <w:p w14:paraId="42740F2A" w14:textId="7777777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Prawo jazdy kat. B</w:t>
            </w:r>
          </w:p>
        </w:tc>
        <w:tc>
          <w:tcPr>
            <w:tcW w:w="4599" w:type="dxa"/>
          </w:tcPr>
          <w:p w14:paraId="79769865"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nie zawiera opłaty egzaminacyjnej wraz z wydaniem uprawnień oraz kosztu badań lekarskich. Trener prowadzący szkolenie powinien mieć co najmniej 2 lata doświadczenia zawodowego w zakresie tematyki szkolenia.</w:t>
            </w:r>
          </w:p>
        </w:tc>
        <w:tc>
          <w:tcPr>
            <w:tcW w:w="2075" w:type="dxa"/>
            <w:gridSpan w:val="2"/>
            <w:vAlign w:val="center"/>
          </w:tcPr>
          <w:p w14:paraId="55C1483C" w14:textId="33D6302A"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1 550,00 zł /osoba</w:t>
            </w:r>
          </w:p>
        </w:tc>
      </w:tr>
      <w:tr w:rsidR="00796CF8" w:rsidRPr="00F66F54" w14:paraId="2B1D95B2" w14:textId="77777777" w:rsidTr="00386C92">
        <w:tc>
          <w:tcPr>
            <w:tcW w:w="3096" w:type="dxa"/>
            <w:gridSpan w:val="2"/>
          </w:tcPr>
          <w:p w14:paraId="7223BCA3" w14:textId="7777777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Prawo jazdy kat. C</w:t>
            </w:r>
          </w:p>
        </w:tc>
        <w:tc>
          <w:tcPr>
            <w:tcW w:w="4599" w:type="dxa"/>
          </w:tcPr>
          <w:p w14:paraId="6008BB83"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nie zawiera opłaty egzaminacyjnej wraz z wydaniem uprawnień oraz kosztu badań lekarskich. Trener prowadzący szkolenie powinien mieć co najmniej 2 lata doświadczenia zawodowego w zakresie tematyki szkolenia.</w:t>
            </w:r>
          </w:p>
        </w:tc>
        <w:tc>
          <w:tcPr>
            <w:tcW w:w="2075" w:type="dxa"/>
            <w:gridSpan w:val="2"/>
            <w:vAlign w:val="center"/>
          </w:tcPr>
          <w:p w14:paraId="4A0E8BFF" w14:textId="02138C0B"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1 720,00 zł / osoba</w:t>
            </w:r>
          </w:p>
        </w:tc>
      </w:tr>
      <w:tr w:rsidR="00796CF8" w:rsidRPr="00F66F54" w14:paraId="7A965AEC" w14:textId="77777777" w:rsidTr="00386C92">
        <w:tc>
          <w:tcPr>
            <w:tcW w:w="3096" w:type="dxa"/>
            <w:gridSpan w:val="2"/>
          </w:tcPr>
          <w:p w14:paraId="2904A243" w14:textId="7777777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Prawo jazdy kat. C+E</w:t>
            </w:r>
          </w:p>
        </w:tc>
        <w:tc>
          <w:tcPr>
            <w:tcW w:w="4599" w:type="dxa"/>
          </w:tcPr>
          <w:p w14:paraId="31D19A97"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Kwota nie zawiera opłaty egzaminacyjnej wraz z wydaniem uprawnień oraz kosztu </w:t>
            </w:r>
            <w:r w:rsidRPr="00F66F54">
              <w:rPr>
                <w:rFonts w:ascii="Times New Roman" w:hAnsi="Times New Roman" w:cs="Times New Roman"/>
                <w:sz w:val="24"/>
                <w:szCs w:val="24"/>
              </w:rPr>
              <w:lastRenderedPageBreak/>
              <w:t xml:space="preserve">badań lekarskich. Trener prowadzący szkolenie powinien mieć co najmniej 2 lata doświadczenia zawodowego w zakresie tematyki szkolenia. </w:t>
            </w:r>
          </w:p>
        </w:tc>
        <w:tc>
          <w:tcPr>
            <w:tcW w:w="2075" w:type="dxa"/>
            <w:gridSpan w:val="2"/>
            <w:vAlign w:val="center"/>
          </w:tcPr>
          <w:p w14:paraId="512459D0" w14:textId="02D595E2"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lastRenderedPageBreak/>
              <w:t>1 670,00 zł / osoba</w:t>
            </w:r>
          </w:p>
        </w:tc>
      </w:tr>
      <w:tr w:rsidR="00796CF8" w:rsidRPr="00F66F54" w14:paraId="4CDEDE31" w14:textId="77777777" w:rsidTr="00386C92">
        <w:tc>
          <w:tcPr>
            <w:tcW w:w="3096" w:type="dxa"/>
            <w:gridSpan w:val="2"/>
          </w:tcPr>
          <w:p w14:paraId="4A51D8CC" w14:textId="45CC8CF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Opłata za badania psychologiczne kierowców</w:t>
            </w:r>
          </w:p>
        </w:tc>
        <w:tc>
          <w:tcPr>
            <w:tcW w:w="4599" w:type="dxa"/>
          </w:tcPr>
          <w:p w14:paraId="40F6F508" w14:textId="70373905"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opłaty za badania psychologiczne osób ubiegających się o uprawnienia do kierowania pojazdami, kierowców oraz osób wykonujących pracę na stanowisku kierowcy (koszt towarzyszący szkoleniom na prawo jazdy) zawiera określony zakres badania psychologicznego w zakresie psychologii transportu i obejmuje: wywiad bezpośredni i obserwację osoby badanej, badania narzędziami diagnostycznymi, ocenę i opis osoby badanej pod względem:</w:t>
            </w:r>
          </w:p>
          <w:p w14:paraId="5D231576" w14:textId="03D6EDAC" w:rsidR="00796CF8" w:rsidRPr="00F66F54" w:rsidRDefault="00796CF8" w:rsidP="00796CF8">
            <w:pPr>
              <w:pStyle w:val="Akapitzlist"/>
              <w:numPr>
                <w:ilvl w:val="0"/>
                <w:numId w:val="27"/>
              </w:numPr>
              <w:ind w:left="181" w:hanging="181"/>
              <w:jc w:val="both"/>
              <w:rPr>
                <w:rFonts w:ascii="Times New Roman" w:hAnsi="Times New Roman" w:cs="Times New Roman"/>
                <w:sz w:val="24"/>
                <w:szCs w:val="24"/>
              </w:rPr>
            </w:pPr>
            <w:r w:rsidRPr="00F66F54">
              <w:rPr>
                <w:rFonts w:ascii="Times New Roman" w:hAnsi="Times New Roman" w:cs="Times New Roman"/>
                <w:sz w:val="24"/>
                <w:szCs w:val="24"/>
              </w:rPr>
              <w:t xml:space="preserve"> sprawności intelektualnej i procesów poznawczych,</w:t>
            </w:r>
          </w:p>
          <w:p w14:paraId="25FB3CBD" w14:textId="4EDDADAC"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b) osobowości, z uwzględnieniem funkcjonowania w trudnych sytuacjach, a także dojrzałości społecznej,</w:t>
            </w:r>
          </w:p>
          <w:p w14:paraId="3255F594" w14:textId="2A940331"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c) sprawności psychomotorycznej.</w:t>
            </w:r>
          </w:p>
          <w:p w14:paraId="26BAFD38" w14:textId="4BB311F8" w:rsidR="00796CF8" w:rsidRPr="00F66F54" w:rsidRDefault="00A506E5" w:rsidP="00796CF8">
            <w:pPr>
              <w:jc w:val="both"/>
              <w:rPr>
                <w:rFonts w:ascii="Times New Roman" w:hAnsi="Times New Roman" w:cs="Times New Roman"/>
                <w:sz w:val="24"/>
                <w:szCs w:val="24"/>
              </w:rPr>
            </w:pPr>
            <w:r>
              <w:rPr>
                <w:rFonts w:ascii="Times New Roman" w:hAnsi="Times New Roman" w:cs="Times New Roman"/>
                <w:sz w:val="24"/>
                <w:szCs w:val="24"/>
              </w:rPr>
              <w:t>Z</w:t>
            </w:r>
            <w:r w:rsidR="00796CF8" w:rsidRPr="00F66F54">
              <w:rPr>
                <w:rFonts w:ascii="Times New Roman" w:hAnsi="Times New Roman" w:cs="Times New Roman"/>
                <w:sz w:val="24"/>
                <w:szCs w:val="24"/>
              </w:rPr>
              <w:t>godnie z Rozporządzeniem Ministra Zdrowia z dnia 8 lipca 2014 r. w sprawie badań psychologicznych osób ubiegających się o uprawnienia do kierowania pojazdami, kierowców oraz osób wykonujących pracę na stanowisku kierowcy</w:t>
            </w:r>
            <w:r w:rsidR="007F2B31">
              <w:rPr>
                <w:rFonts w:ascii="Times New Roman" w:hAnsi="Times New Roman" w:cs="Times New Roman"/>
                <w:sz w:val="24"/>
                <w:szCs w:val="24"/>
              </w:rPr>
              <w:t xml:space="preserve"> </w:t>
            </w:r>
            <w:r>
              <w:rPr>
                <w:rFonts w:ascii="Times New Roman" w:hAnsi="Times New Roman" w:cs="Times New Roman"/>
                <w:sz w:val="24"/>
                <w:szCs w:val="24"/>
              </w:rPr>
              <w:t>(</w:t>
            </w:r>
            <w:r w:rsidRPr="00F66F54">
              <w:rPr>
                <w:rFonts w:ascii="Times New Roman" w:hAnsi="Times New Roman" w:cs="Times New Roman"/>
                <w:sz w:val="24"/>
                <w:szCs w:val="24"/>
              </w:rPr>
              <w:t>Dz.U. z 201</w:t>
            </w:r>
            <w:r>
              <w:rPr>
                <w:rFonts w:ascii="Times New Roman" w:hAnsi="Times New Roman" w:cs="Times New Roman"/>
                <w:sz w:val="24"/>
                <w:szCs w:val="24"/>
              </w:rPr>
              <w:t xml:space="preserve">9 </w:t>
            </w:r>
            <w:r w:rsidRPr="00F66F54">
              <w:rPr>
                <w:rFonts w:ascii="Times New Roman" w:hAnsi="Times New Roman" w:cs="Times New Roman"/>
                <w:sz w:val="24"/>
                <w:szCs w:val="24"/>
              </w:rPr>
              <w:t>r. poz.</w:t>
            </w:r>
            <w:r>
              <w:rPr>
                <w:rFonts w:ascii="Times New Roman" w:hAnsi="Times New Roman" w:cs="Times New Roman"/>
                <w:sz w:val="24"/>
                <w:szCs w:val="24"/>
              </w:rPr>
              <w:t xml:space="preserve"> 937</w:t>
            </w:r>
            <w:r w:rsidR="00796CF8" w:rsidRPr="00F66F54">
              <w:rPr>
                <w:rFonts w:ascii="Times New Roman" w:hAnsi="Times New Roman" w:cs="Times New Roman"/>
                <w:sz w:val="24"/>
                <w:szCs w:val="24"/>
              </w:rPr>
              <w:t>).</w:t>
            </w:r>
          </w:p>
        </w:tc>
        <w:tc>
          <w:tcPr>
            <w:tcW w:w="2075" w:type="dxa"/>
            <w:gridSpan w:val="2"/>
            <w:vAlign w:val="center"/>
          </w:tcPr>
          <w:p w14:paraId="6E9107A3" w14:textId="0E750082"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150,00 zł / osoba</w:t>
            </w:r>
          </w:p>
        </w:tc>
      </w:tr>
      <w:tr w:rsidR="00796CF8" w:rsidRPr="00F66F54" w14:paraId="0D299C35" w14:textId="77777777" w:rsidTr="00386C92">
        <w:tc>
          <w:tcPr>
            <w:tcW w:w="3096" w:type="dxa"/>
            <w:gridSpan w:val="2"/>
          </w:tcPr>
          <w:p w14:paraId="1CFEDFE2" w14:textId="5348C6E8"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Kwalifikacja wstępna</w:t>
            </w:r>
          </w:p>
        </w:tc>
        <w:tc>
          <w:tcPr>
            <w:tcW w:w="4599" w:type="dxa"/>
          </w:tcPr>
          <w:p w14:paraId="78DFB205"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opłaty zawiera przeprowadzenie szkolenia w minimalnym wymiarze:</w:t>
            </w:r>
          </w:p>
          <w:p w14:paraId="38BD709D" w14:textId="77777777" w:rsidR="00796CF8" w:rsidRPr="00F66F54" w:rsidRDefault="00796CF8" w:rsidP="00796CF8">
            <w:pPr>
              <w:pStyle w:val="Akapitzlist"/>
              <w:numPr>
                <w:ilvl w:val="0"/>
                <w:numId w:val="3"/>
              </w:numPr>
              <w:ind w:left="317" w:hanging="283"/>
              <w:jc w:val="both"/>
              <w:rPr>
                <w:rFonts w:ascii="Times New Roman" w:hAnsi="Times New Roman" w:cs="Times New Roman"/>
                <w:sz w:val="24"/>
                <w:szCs w:val="24"/>
              </w:rPr>
            </w:pPr>
            <w:r w:rsidRPr="00F66F54">
              <w:rPr>
                <w:rFonts w:ascii="Times New Roman" w:hAnsi="Times New Roman" w:cs="Times New Roman"/>
                <w:sz w:val="24"/>
                <w:szCs w:val="24"/>
              </w:rPr>
              <w:t>część podstawowa - teoretyczna, trwająca minimum 195 h</w:t>
            </w:r>
          </w:p>
          <w:p w14:paraId="5696082E" w14:textId="77777777" w:rsidR="00796CF8" w:rsidRPr="00F66F54" w:rsidRDefault="00796CF8" w:rsidP="00796CF8">
            <w:pPr>
              <w:pStyle w:val="Akapitzlist"/>
              <w:numPr>
                <w:ilvl w:val="0"/>
                <w:numId w:val="3"/>
              </w:numPr>
              <w:ind w:left="317" w:hanging="283"/>
              <w:jc w:val="both"/>
              <w:rPr>
                <w:rFonts w:ascii="Times New Roman" w:hAnsi="Times New Roman" w:cs="Times New Roman"/>
                <w:sz w:val="24"/>
                <w:szCs w:val="24"/>
              </w:rPr>
            </w:pPr>
            <w:r w:rsidRPr="00F66F54">
              <w:rPr>
                <w:rFonts w:ascii="Times New Roman" w:hAnsi="Times New Roman" w:cs="Times New Roman"/>
                <w:sz w:val="24"/>
                <w:szCs w:val="24"/>
              </w:rPr>
              <w:t>część specjalistyczna prowadzona w formie:</w:t>
            </w:r>
          </w:p>
          <w:p w14:paraId="54C4C20C" w14:textId="77777777" w:rsidR="00796CF8" w:rsidRPr="00F66F54" w:rsidRDefault="00796CF8" w:rsidP="00796CF8">
            <w:pPr>
              <w:pStyle w:val="Akapitzlist"/>
              <w:numPr>
                <w:ilvl w:val="0"/>
                <w:numId w:val="5"/>
              </w:numPr>
              <w:ind w:left="465" w:hanging="148"/>
              <w:jc w:val="both"/>
              <w:rPr>
                <w:rFonts w:ascii="Times New Roman" w:hAnsi="Times New Roman" w:cs="Times New Roman"/>
                <w:sz w:val="24"/>
                <w:szCs w:val="24"/>
              </w:rPr>
            </w:pPr>
            <w:r w:rsidRPr="00F66F54">
              <w:rPr>
                <w:rFonts w:ascii="Times New Roman" w:hAnsi="Times New Roman" w:cs="Times New Roman"/>
                <w:sz w:val="24"/>
                <w:szCs w:val="24"/>
              </w:rPr>
              <w:t>zajęć teoretycznych trwających minimum 65 h</w:t>
            </w:r>
          </w:p>
          <w:p w14:paraId="1B55316F" w14:textId="77777777" w:rsidR="00796CF8" w:rsidRPr="00F66F54" w:rsidRDefault="00796CF8" w:rsidP="00796CF8">
            <w:pPr>
              <w:pStyle w:val="Akapitzlist"/>
              <w:numPr>
                <w:ilvl w:val="0"/>
                <w:numId w:val="5"/>
              </w:numPr>
              <w:ind w:left="465" w:hanging="148"/>
              <w:jc w:val="both"/>
              <w:rPr>
                <w:rFonts w:ascii="Times New Roman" w:hAnsi="Times New Roman" w:cs="Times New Roman"/>
                <w:sz w:val="24"/>
                <w:szCs w:val="24"/>
              </w:rPr>
            </w:pPr>
            <w:r w:rsidRPr="00F66F54">
              <w:rPr>
                <w:rFonts w:ascii="Times New Roman" w:hAnsi="Times New Roman" w:cs="Times New Roman"/>
                <w:sz w:val="24"/>
                <w:szCs w:val="24"/>
              </w:rPr>
              <w:t>zajęć praktycznych w ruchu drogowym, podczas których osoba szkolona powinna odbyć minimum 16 h jazdy indywidualnej oraz</w:t>
            </w:r>
          </w:p>
          <w:p w14:paraId="2E563875" w14:textId="60CC34D6" w:rsidR="00796CF8" w:rsidRPr="00F66F54" w:rsidRDefault="00796CF8" w:rsidP="00796CF8">
            <w:pPr>
              <w:pStyle w:val="Akapitzlist"/>
              <w:numPr>
                <w:ilvl w:val="0"/>
                <w:numId w:val="5"/>
              </w:numPr>
              <w:ind w:left="465" w:hanging="148"/>
              <w:jc w:val="both"/>
              <w:rPr>
                <w:rFonts w:ascii="Times New Roman" w:hAnsi="Times New Roman" w:cs="Times New Roman"/>
                <w:sz w:val="24"/>
                <w:szCs w:val="24"/>
              </w:rPr>
            </w:pPr>
            <w:r w:rsidRPr="00F66F54">
              <w:rPr>
                <w:rFonts w:ascii="Times New Roman" w:hAnsi="Times New Roman" w:cs="Times New Roman"/>
                <w:sz w:val="24"/>
                <w:szCs w:val="24"/>
              </w:rPr>
              <w:t>zajęć praktycznych z jazdy w warunkach specjalnych, podczas których osoba szkolna powinna odbyć minimum 4 h jazdy indywidualnej</w:t>
            </w:r>
          </w:p>
          <w:p w14:paraId="3CC09EC5" w14:textId="1337E07F" w:rsidR="00796CF8" w:rsidRPr="00F66F54" w:rsidRDefault="00A506E5" w:rsidP="00796CF8">
            <w:pPr>
              <w:pStyle w:val="Akapitzlist"/>
              <w:ind w:left="0"/>
              <w:jc w:val="both"/>
              <w:rPr>
                <w:rFonts w:ascii="Times New Roman" w:hAnsi="Times New Roman" w:cs="Times New Roman"/>
                <w:sz w:val="24"/>
                <w:szCs w:val="24"/>
              </w:rPr>
            </w:pPr>
            <w:r>
              <w:rPr>
                <w:rFonts w:ascii="Times New Roman" w:hAnsi="Times New Roman" w:cs="Times New Roman"/>
                <w:sz w:val="24"/>
                <w:szCs w:val="24"/>
              </w:rPr>
              <w:t>Z</w:t>
            </w:r>
            <w:r w:rsidR="00796CF8" w:rsidRPr="00F66F54">
              <w:rPr>
                <w:rFonts w:ascii="Times New Roman" w:hAnsi="Times New Roman" w:cs="Times New Roman"/>
                <w:sz w:val="24"/>
                <w:szCs w:val="24"/>
              </w:rPr>
              <w:t xml:space="preserve">godnie z rozporządzeniem Ministra Infrastruktury </w:t>
            </w:r>
            <w:r w:rsidRPr="00F66F54">
              <w:rPr>
                <w:rFonts w:ascii="Times New Roman" w:hAnsi="Times New Roman" w:cs="Times New Roman"/>
                <w:sz w:val="24"/>
                <w:szCs w:val="24"/>
              </w:rPr>
              <w:t xml:space="preserve">z dnia 30.12.2016r. </w:t>
            </w:r>
            <w:r w:rsidR="00796CF8" w:rsidRPr="00F66F54">
              <w:rPr>
                <w:rFonts w:ascii="Times New Roman" w:hAnsi="Times New Roman" w:cs="Times New Roman"/>
                <w:sz w:val="24"/>
                <w:szCs w:val="24"/>
              </w:rPr>
              <w:t>w sprawie szkolenia kierowców wykonujących przewóz drogowy (Dz.U. z 2017</w:t>
            </w:r>
            <w:r w:rsidR="007F2B31">
              <w:rPr>
                <w:rFonts w:ascii="Times New Roman" w:hAnsi="Times New Roman" w:cs="Times New Roman"/>
                <w:sz w:val="24"/>
                <w:szCs w:val="24"/>
              </w:rPr>
              <w:t xml:space="preserve"> </w:t>
            </w:r>
            <w:r w:rsidR="00796CF8" w:rsidRPr="00F66F54">
              <w:rPr>
                <w:rFonts w:ascii="Times New Roman" w:hAnsi="Times New Roman" w:cs="Times New Roman"/>
                <w:sz w:val="24"/>
                <w:szCs w:val="24"/>
              </w:rPr>
              <w:t>r. poz.151</w:t>
            </w:r>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00796CF8" w:rsidRPr="00F66F54">
              <w:rPr>
                <w:rFonts w:ascii="Times New Roman" w:hAnsi="Times New Roman" w:cs="Times New Roman"/>
                <w:sz w:val="24"/>
                <w:szCs w:val="24"/>
              </w:rPr>
              <w:t>).</w:t>
            </w:r>
          </w:p>
        </w:tc>
        <w:tc>
          <w:tcPr>
            <w:tcW w:w="2075" w:type="dxa"/>
            <w:gridSpan w:val="2"/>
            <w:vAlign w:val="center"/>
          </w:tcPr>
          <w:p w14:paraId="4497C33C" w14:textId="39408C62"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3 950,00 zł / osoba</w:t>
            </w:r>
          </w:p>
        </w:tc>
      </w:tr>
      <w:tr w:rsidR="00796CF8" w:rsidRPr="00F66F54" w14:paraId="541A9DA4" w14:textId="77777777" w:rsidTr="00386C92">
        <w:tc>
          <w:tcPr>
            <w:tcW w:w="3096" w:type="dxa"/>
            <w:gridSpan w:val="2"/>
          </w:tcPr>
          <w:p w14:paraId="105A54B4" w14:textId="7777777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lastRenderedPageBreak/>
              <w:t>Kwalifikacja wstępna przyspieszona</w:t>
            </w:r>
          </w:p>
        </w:tc>
        <w:tc>
          <w:tcPr>
            <w:tcW w:w="4599" w:type="dxa"/>
          </w:tcPr>
          <w:p w14:paraId="747040C0"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opłaty zawiera przeprowadzenie szkolenia w minimalnym wymiarze:</w:t>
            </w:r>
          </w:p>
          <w:p w14:paraId="1170EAE8" w14:textId="77777777" w:rsidR="00796CF8" w:rsidRPr="00F66F54" w:rsidRDefault="00796CF8" w:rsidP="00796CF8">
            <w:pPr>
              <w:pStyle w:val="Akapitzlist"/>
              <w:numPr>
                <w:ilvl w:val="0"/>
                <w:numId w:val="4"/>
              </w:numPr>
              <w:ind w:left="317" w:hanging="283"/>
              <w:jc w:val="both"/>
              <w:rPr>
                <w:rFonts w:ascii="Times New Roman" w:hAnsi="Times New Roman" w:cs="Times New Roman"/>
                <w:sz w:val="24"/>
                <w:szCs w:val="24"/>
              </w:rPr>
            </w:pPr>
            <w:r w:rsidRPr="00F66F54">
              <w:rPr>
                <w:rFonts w:ascii="Times New Roman" w:hAnsi="Times New Roman" w:cs="Times New Roman"/>
                <w:sz w:val="24"/>
                <w:szCs w:val="24"/>
              </w:rPr>
              <w:t>część podstawowa - teoretyczna, trwająca minimum 97 h</w:t>
            </w:r>
          </w:p>
          <w:p w14:paraId="33F08226" w14:textId="77777777" w:rsidR="00796CF8" w:rsidRPr="00F66F54" w:rsidRDefault="00796CF8" w:rsidP="00796CF8">
            <w:pPr>
              <w:pStyle w:val="Akapitzlist"/>
              <w:numPr>
                <w:ilvl w:val="0"/>
                <w:numId w:val="4"/>
              </w:numPr>
              <w:ind w:left="317" w:hanging="283"/>
              <w:jc w:val="both"/>
              <w:rPr>
                <w:rFonts w:ascii="Times New Roman" w:hAnsi="Times New Roman" w:cs="Times New Roman"/>
                <w:sz w:val="24"/>
                <w:szCs w:val="24"/>
              </w:rPr>
            </w:pPr>
            <w:r w:rsidRPr="00F66F54">
              <w:rPr>
                <w:rFonts w:ascii="Times New Roman" w:hAnsi="Times New Roman" w:cs="Times New Roman"/>
                <w:sz w:val="24"/>
                <w:szCs w:val="24"/>
              </w:rPr>
              <w:t>część specjalistyczna prowadzona w formie</w:t>
            </w:r>
          </w:p>
          <w:p w14:paraId="2CBDCAAA" w14:textId="77777777" w:rsidR="00796CF8" w:rsidRPr="00F66F54" w:rsidRDefault="00796CF8" w:rsidP="00796CF8">
            <w:pPr>
              <w:pStyle w:val="Akapitzlist"/>
              <w:numPr>
                <w:ilvl w:val="0"/>
                <w:numId w:val="6"/>
              </w:numPr>
              <w:ind w:left="465" w:hanging="142"/>
              <w:jc w:val="both"/>
              <w:rPr>
                <w:rFonts w:ascii="Times New Roman" w:hAnsi="Times New Roman" w:cs="Times New Roman"/>
                <w:sz w:val="24"/>
                <w:szCs w:val="24"/>
              </w:rPr>
            </w:pPr>
            <w:r w:rsidRPr="00F66F54">
              <w:rPr>
                <w:rFonts w:ascii="Times New Roman" w:hAnsi="Times New Roman" w:cs="Times New Roman"/>
                <w:sz w:val="24"/>
                <w:szCs w:val="24"/>
              </w:rPr>
              <w:t>zajęć teoretycznych trwających minimum 33 h</w:t>
            </w:r>
          </w:p>
          <w:p w14:paraId="0814B3F4" w14:textId="77777777" w:rsidR="00796CF8" w:rsidRPr="00F66F54" w:rsidRDefault="00796CF8" w:rsidP="00796CF8">
            <w:pPr>
              <w:pStyle w:val="Akapitzlist"/>
              <w:numPr>
                <w:ilvl w:val="0"/>
                <w:numId w:val="6"/>
              </w:numPr>
              <w:ind w:left="465" w:hanging="142"/>
              <w:jc w:val="both"/>
              <w:rPr>
                <w:rFonts w:ascii="Times New Roman" w:hAnsi="Times New Roman" w:cs="Times New Roman"/>
                <w:sz w:val="24"/>
                <w:szCs w:val="24"/>
              </w:rPr>
            </w:pPr>
            <w:r w:rsidRPr="00F66F54">
              <w:rPr>
                <w:rFonts w:ascii="Times New Roman" w:hAnsi="Times New Roman" w:cs="Times New Roman"/>
                <w:sz w:val="24"/>
                <w:szCs w:val="24"/>
              </w:rPr>
              <w:t>zajęć praktycznych w ruchu drogowym, podczas których osoba szkolona powinna odbyć minimum 8 h jazdy indywidualnej oraz</w:t>
            </w:r>
          </w:p>
          <w:p w14:paraId="1D48431A" w14:textId="1513D667" w:rsidR="00796CF8" w:rsidRPr="00F66F54" w:rsidRDefault="00796CF8" w:rsidP="00796CF8">
            <w:pPr>
              <w:pStyle w:val="Akapitzlist"/>
              <w:numPr>
                <w:ilvl w:val="0"/>
                <w:numId w:val="6"/>
              </w:numPr>
              <w:ind w:left="465" w:hanging="142"/>
              <w:jc w:val="both"/>
              <w:rPr>
                <w:rFonts w:ascii="Times New Roman" w:hAnsi="Times New Roman" w:cs="Times New Roman"/>
                <w:sz w:val="24"/>
                <w:szCs w:val="24"/>
              </w:rPr>
            </w:pPr>
            <w:r w:rsidRPr="00F66F54">
              <w:rPr>
                <w:rFonts w:ascii="Times New Roman" w:hAnsi="Times New Roman" w:cs="Times New Roman"/>
                <w:sz w:val="24"/>
                <w:szCs w:val="24"/>
              </w:rPr>
              <w:t>zajęć praktycznych z jazdy w warunkach specjalnych, podczas których osoba szkolna powinna odbyć minimum 2 h jazdy indywidualnej</w:t>
            </w:r>
          </w:p>
          <w:p w14:paraId="7842FD68" w14:textId="61AC16F7" w:rsidR="00796CF8" w:rsidRPr="00F66F54" w:rsidRDefault="007F2B31" w:rsidP="00796CF8">
            <w:pPr>
              <w:jc w:val="both"/>
              <w:rPr>
                <w:rFonts w:ascii="Times New Roman" w:hAnsi="Times New Roman" w:cs="Times New Roman"/>
                <w:sz w:val="24"/>
                <w:szCs w:val="24"/>
              </w:rPr>
            </w:pPr>
            <w:r>
              <w:rPr>
                <w:rFonts w:ascii="Times New Roman" w:hAnsi="Times New Roman" w:cs="Times New Roman"/>
                <w:sz w:val="24"/>
                <w:szCs w:val="24"/>
              </w:rPr>
              <w:t>Z</w:t>
            </w:r>
            <w:r w:rsidRPr="00F66F54">
              <w:rPr>
                <w:rFonts w:ascii="Times New Roman" w:hAnsi="Times New Roman" w:cs="Times New Roman"/>
                <w:sz w:val="24"/>
                <w:szCs w:val="24"/>
              </w:rPr>
              <w:t>godnie z rozporządzeniem Ministra Infrastruktury z dnia 30.12.2016r. w sprawie szkolenia kierowców wykonujących przewóz drogowy (Dz.U. z 2017</w:t>
            </w:r>
            <w:r>
              <w:rPr>
                <w:rFonts w:ascii="Times New Roman" w:hAnsi="Times New Roman" w:cs="Times New Roman"/>
                <w:sz w:val="24"/>
                <w:szCs w:val="24"/>
              </w:rPr>
              <w:t xml:space="preserve"> </w:t>
            </w:r>
            <w:bookmarkStart w:id="1" w:name="_GoBack"/>
            <w:bookmarkEnd w:id="1"/>
            <w:r w:rsidRPr="00F66F54">
              <w:rPr>
                <w:rFonts w:ascii="Times New Roman" w:hAnsi="Times New Roman" w:cs="Times New Roman"/>
                <w:sz w:val="24"/>
                <w:szCs w:val="24"/>
              </w:rPr>
              <w:t>r. poz.151</w:t>
            </w:r>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F66F54">
              <w:rPr>
                <w:rFonts w:ascii="Times New Roman" w:hAnsi="Times New Roman" w:cs="Times New Roman"/>
                <w:sz w:val="24"/>
                <w:szCs w:val="24"/>
              </w:rPr>
              <w:t>).</w:t>
            </w:r>
          </w:p>
        </w:tc>
        <w:tc>
          <w:tcPr>
            <w:tcW w:w="2075" w:type="dxa"/>
            <w:gridSpan w:val="2"/>
            <w:vAlign w:val="center"/>
          </w:tcPr>
          <w:p w14:paraId="3D006B21" w14:textId="457C6348"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2 270,00 zł / osoba</w:t>
            </w:r>
          </w:p>
        </w:tc>
      </w:tr>
      <w:tr w:rsidR="00796CF8" w:rsidRPr="00F66F54" w14:paraId="0EF5E536" w14:textId="77777777" w:rsidTr="00386C92">
        <w:tc>
          <w:tcPr>
            <w:tcW w:w="3096" w:type="dxa"/>
            <w:gridSpan w:val="2"/>
          </w:tcPr>
          <w:p w14:paraId="3599B6EA" w14:textId="120F6DB3"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Kurs spawalniczy MIG -131</w:t>
            </w:r>
          </w:p>
        </w:tc>
        <w:tc>
          <w:tcPr>
            <w:tcW w:w="4599" w:type="dxa"/>
          </w:tcPr>
          <w:p w14:paraId="650AEF85"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zawiera opłatę egzaminacyjną wraz z wydaniem uprawnień, natomiast nie zawiera kosztu badań lekarskich. Trener prowadzący szkolenie powinien mieć co najmniej 2 lata doświadczenia zawodowego w zakresie tematyki szkolenia.</w:t>
            </w:r>
          </w:p>
        </w:tc>
        <w:tc>
          <w:tcPr>
            <w:tcW w:w="2075" w:type="dxa"/>
            <w:gridSpan w:val="2"/>
            <w:vAlign w:val="center"/>
          </w:tcPr>
          <w:p w14:paraId="6F93AA37" w14:textId="3E8D402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2 600,00 zł /osoba</w:t>
            </w:r>
          </w:p>
        </w:tc>
      </w:tr>
      <w:tr w:rsidR="00796CF8" w:rsidRPr="00F66F54" w14:paraId="07BAD170" w14:textId="77777777" w:rsidTr="00386C92">
        <w:tc>
          <w:tcPr>
            <w:tcW w:w="3096" w:type="dxa"/>
            <w:gridSpan w:val="2"/>
          </w:tcPr>
          <w:p w14:paraId="0A670B62" w14:textId="10C52C2C"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Kurs spawalniczy MAG -135</w:t>
            </w:r>
          </w:p>
        </w:tc>
        <w:tc>
          <w:tcPr>
            <w:tcW w:w="4599" w:type="dxa"/>
          </w:tcPr>
          <w:p w14:paraId="2E2C5C02"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zawiera opłatę egzaminacyjną wraz z wydaniem uprawnień, natomiast nie zawiera kosztu badań lekarskich. Trener prowadzący szkolenie powinien mieć co najmniej 2 lata doświadczenia zawodowego w zakresie tematyki szkolenia.</w:t>
            </w:r>
          </w:p>
        </w:tc>
        <w:tc>
          <w:tcPr>
            <w:tcW w:w="2075" w:type="dxa"/>
            <w:gridSpan w:val="2"/>
            <w:vAlign w:val="center"/>
          </w:tcPr>
          <w:p w14:paraId="76D29569" w14:textId="5D88B74E"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2 400,00 zł /osoba</w:t>
            </w:r>
          </w:p>
        </w:tc>
      </w:tr>
      <w:tr w:rsidR="00796CF8" w:rsidRPr="00F66F54" w14:paraId="30AC0FB0" w14:textId="77777777" w:rsidTr="00386C92">
        <w:tc>
          <w:tcPr>
            <w:tcW w:w="3096" w:type="dxa"/>
            <w:gridSpan w:val="2"/>
          </w:tcPr>
          <w:p w14:paraId="25016592" w14:textId="7777777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Kurs spawalniczy elektrodą otuloną- 111</w:t>
            </w:r>
          </w:p>
        </w:tc>
        <w:tc>
          <w:tcPr>
            <w:tcW w:w="4599" w:type="dxa"/>
          </w:tcPr>
          <w:p w14:paraId="41A24823"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zawiera opłatę egzaminacyjną wraz z wydaniem uprawnień, natomiast nie zawiera kosztu badań lekarskich. Trener prowadzący szkolenie powinien mieć co najmniej 2 lata doświadczenia zawodowego w zakresie tematyki szkolenia.</w:t>
            </w:r>
          </w:p>
        </w:tc>
        <w:tc>
          <w:tcPr>
            <w:tcW w:w="2075" w:type="dxa"/>
            <w:gridSpan w:val="2"/>
            <w:vAlign w:val="center"/>
          </w:tcPr>
          <w:p w14:paraId="09B6461A" w14:textId="53CB4CF6"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2 300,00 zł /osoba</w:t>
            </w:r>
          </w:p>
        </w:tc>
      </w:tr>
      <w:tr w:rsidR="00796CF8" w:rsidRPr="00F66F54" w14:paraId="0E91578C" w14:textId="77777777" w:rsidTr="00386C92">
        <w:tc>
          <w:tcPr>
            <w:tcW w:w="3096" w:type="dxa"/>
            <w:gridSpan w:val="2"/>
          </w:tcPr>
          <w:p w14:paraId="53E2AE46" w14:textId="76C33EFD"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Kurs spawalniczy acetylenowo - tlenowy – 311</w:t>
            </w:r>
          </w:p>
        </w:tc>
        <w:tc>
          <w:tcPr>
            <w:tcW w:w="4599" w:type="dxa"/>
          </w:tcPr>
          <w:p w14:paraId="3A449D61"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Kwota zawiera opłatę egzaminacyjną wraz z wydaniem uprawnień, natomiast nie zawiera kosztu badań lekarskich. Trener prowadzący szkolenie powinien mieć co najmniej 2 lata doświadczenia zawodowego w zakresie tematyki szkolenia.</w:t>
            </w:r>
          </w:p>
        </w:tc>
        <w:tc>
          <w:tcPr>
            <w:tcW w:w="2075" w:type="dxa"/>
            <w:gridSpan w:val="2"/>
            <w:vAlign w:val="center"/>
          </w:tcPr>
          <w:p w14:paraId="755665EE" w14:textId="6D60BE58"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2 100,00 zł /osoba</w:t>
            </w:r>
          </w:p>
        </w:tc>
      </w:tr>
      <w:tr w:rsidR="00796CF8" w:rsidRPr="00F66F54" w14:paraId="4E9904EF" w14:textId="77777777" w:rsidTr="00386C92">
        <w:tc>
          <w:tcPr>
            <w:tcW w:w="3096" w:type="dxa"/>
            <w:gridSpan w:val="2"/>
          </w:tcPr>
          <w:p w14:paraId="78D8418A" w14:textId="7777777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Kurs spawalniczy TIG – 141</w:t>
            </w:r>
          </w:p>
        </w:tc>
        <w:tc>
          <w:tcPr>
            <w:tcW w:w="4599" w:type="dxa"/>
          </w:tcPr>
          <w:p w14:paraId="1B57475E"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Kwota zawiera opłatę egzaminacyjną wraz z wydaniem uprawnień, natomiast nie zawiera kosztu badań lekarskich. Trener </w:t>
            </w:r>
            <w:r w:rsidRPr="00F66F54">
              <w:rPr>
                <w:rFonts w:ascii="Times New Roman" w:hAnsi="Times New Roman" w:cs="Times New Roman"/>
                <w:sz w:val="24"/>
                <w:szCs w:val="24"/>
              </w:rPr>
              <w:lastRenderedPageBreak/>
              <w:t>prowadzący szkolenie powinien mieć co najmniej 2 lata doświadczenia zawodowego w zakresie tematyki szkolenia.</w:t>
            </w:r>
          </w:p>
        </w:tc>
        <w:tc>
          <w:tcPr>
            <w:tcW w:w="2075" w:type="dxa"/>
            <w:gridSpan w:val="2"/>
            <w:vAlign w:val="center"/>
          </w:tcPr>
          <w:p w14:paraId="7E599AEA" w14:textId="6168BBFA"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lastRenderedPageBreak/>
              <w:t>2 800,00 zł /osoba</w:t>
            </w:r>
          </w:p>
        </w:tc>
      </w:tr>
      <w:tr w:rsidR="00796CF8" w:rsidRPr="00F66F54" w14:paraId="24A695A6" w14:textId="77777777" w:rsidTr="00796CF8">
        <w:trPr>
          <w:trHeight w:val="394"/>
        </w:trPr>
        <w:tc>
          <w:tcPr>
            <w:tcW w:w="9770" w:type="dxa"/>
            <w:gridSpan w:val="5"/>
            <w:shd w:val="clear" w:color="auto" w:fill="C6D9F1" w:themeFill="text2" w:themeFillTint="33"/>
            <w:vAlign w:val="center"/>
          </w:tcPr>
          <w:p w14:paraId="51938D75" w14:textId="3FF204F0"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Staż</w:t>
            </w:r>
            <w:r w:rsidRPr="00F66F54">
              <w:rPr>
                <w:rStyle w:val="Odwoanieprzypisudolnego"/>
                <w:rFonts w:ascii="Times New Roman" w:hAnsi="Times New Roman" w:cs="Times New Roman"/>
                <w:sz w:val="24"/>
                <w:szCs w:val="24"/>
              </w:rPr>
              <w:footnoteReference w:id="10"/>
            </w:r>
          </w:p>
        </w:tc>
      </w:tr>
      <w:tr w:rsidR="00796CF8" w:rsidRPr="00F66F54" w14:paraId="6BFA7459" w14:textId="77777777" w:rsidTr="00C8269B">
        <w:tc>
          <w:tcPr>
            <w:tcW w:w="9770" w:type="dxa"/>
            <w:gridSpan w:val="5"/>
          </w:tcPr>
          <w:p w14:paraId="42AFF926"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Staż jest to nabywanie przez uczestnika projektu umiejętności praktycznych do wykonywania pracy przez wykonywania pracy przez wykonywanie zadań w miejscu pracy bez nawiązywania stosunku pracy z pracodawcą. </w:t>
            </w:r>
          </w:p>
          <w:p w14:paraId="73F60549" w14:textId="77777777" w:rsidR="00796CF8" w:rsidRPr="00F66F54" w:rsidRDefault="00796CF8" w:rsidP="00796CF8">
            <w:pPr>
              <w:numPr>
                <w:ilvl w:val="0"/>
                <w:numId w:val="16"/>
              </w:numPr>
              <w:ind w:left="181" w:hanging="181"/>
              <w:jc w:val="both"/>
              <w:rPr>
                <w:rFonts w:ascii="Times New Roman" w:hAnsi="Times New Roman" w:cs="Times New Roman"/>
                <w:sz w:val="24"/>
                <w:szCs w:val="24"/>
              </w:rPr>
            </w:pPr>
            <w:r w:rsidRPr="00F66F54">
              <w:rPr>
                <w:rFonts w:ascii="Times New Roman" w:hAnsi="Times New Roman" w:cs="Times New Roman"/>
                <w:sz w:val="24"/>
                <w:szCs w:val="24"/>
              </w:rPr>
              <w:t>Wsparcie w postaci staży realizowane w ramach projektów jest zgodne z zaleceniem Rady z dnia 10 marca 2014 r. w sprawie ram jakości staży (Dz. Urz. UE C 88 z 27.03.2014, str. 1) oraz z Polskimi Ramami Jakości Praktyk i Staży</w:t>
            </w:r>
            <w:r w:rsidRPr="00F66F54">
              <w:rPr>
                <w:rStyle w:val="Odwoanieprzypisudolnego"/>
                <w:rFonts w:ascii="Times New Roman" w:hAnsi="Times New Roman" w:cs="Times New Roman"/>
                <w:sz w:val="24"/>
                <w:szCs w:val="24"/>
              </w:rPr>
              <w:footnoteReference w:id="11"/>
            </w:r>
            <w:r w:rsidRPr="00F66F54">
              <w:rPr>
                <w:rFonts w:ascii="Times New Roman" w:hAnsi="Times New Roman" w:cs="Times New Roman"/>
                <w:sz w:val="24"/>
                <w:szCs w:val="24"/>
              </w:rPr>
              <w:t xml:space="preserve"> (załącznik nr 10 do Regulaminu konkursu) oraz spełnia podstawowe wymogi zapewniające wysoki standard stażu poprzez zapewnienie, iż:</w:t>
            </w:r>
          </w:p>
          <w:p w14:paraId="4035C398" w14:textId="77777777" w:rsidR="00796CF8" w:rsidRPr="00F66F54" w:rsidRDefault="00796CF8" w:rsidP="00796CF8">
            <w:pPr>
              <w:numPr>
                <w:ilvl w:val="2"/>
                <w:numId w:val="15"/>
              </w:numPr>
              <w:ind w:left="465" w:hanging="284"/>
              <w:jc w:val="both"/>
              <w:rPr>
                <w:rFonts w:ascii="Times New Roman" w:hAnsi="Times New Roman" w:cs="Times New Roman"/>
                <w:sz w:val="24"/>
                <w:szCs w:val="24"/>
              </w:rPr>
            </w:pPr>
            <w:r w:rsidRPr="00F66F54">
              <w:rPr>
                <w:rFonts w:ascii="Times New Roman" w:hAnsi="Times New Roman" w:cs="Times New Roman"/>
                <w:sz w:val="24"/>
                <w:szCs w:val="24"/>
              </w:rPr>
              <w:t>staż odbywa się na podstawie pisemnej umowy, której stroną jest co najmniej stażysta oraz podmiot przyjmujący na staż, która zawiera podstawowe warunki przebiegu stażu, w tym cel stażu, okres trwania stażu, wysokość przewidywanego stypendium, miejsce wykonywania prac, zakres obowiązków oraz dane opiekuna stażu;</w:t>
            </w:r>
          </w:p>
          <w:p w14:paraId="699D84A5" w14:textId="77777777" w:rsidR="00796CF8" w:rsidRPr="00F66F54" w:rsidRDefault="00796CF8" w:rsidP="00796CF8">
            <w:pPr>
              <w:numPr>
                <w:ilvl w:val="2"/>
                <w:numId w:val="15"/>
              </w:numPr>
              <w:ind w:left="465" w:hanging="284"/>
              <w:jc w:val="both"/>
              <w:rPr>
                <w:rFonts w:ascii="Times New Roman" w:hAnsi="Times New Roman" w:cs="Times New Roman"/>
                <w:sz w:val="24"/>
                <w:szCs w:val="24"/>
              </w:rPr>
            </w:pPr>
            <w:r w:rsidRPr="00F66F54">
              <w:rPr>
                <w:rFonts w:ascii="Times New Roman" w:hAnsi="Times New Roman" w:cs="Times New Roman"/>
                <w:sz w:val="24"/>
                <w:szCs w:val="24"/>
              </w:rPr>
              <w:t>zadania w ramach stażu są wykonywane zgodnie z programem stażu, który jest przygotowany przez podmiot przyjmujący na staż we współpracy z organizatorem stażu i przedkładany do podpisu stażysty. Program stażu jest opracowywany indywidualnie, z uwzględnieniem potrzeb i potencjału stażysty;</w:t>
            </w:r>
          </w:p>
          <w:p w14:paraId="5AF69365" w14:textId="77777777" w:rsidR="00796CF8" w:rsidRPr="00F66F54" w:rsidRDefault="00796CF8" w:rsidP="00796CF8">
            <w:pPr>
              <w:numPr>
                <w:ilvl w:val="2"/>
                <w:numId w:val="15"/>
              </w:numPr>
              <w:ind w:left="465" w:hanging="284"/>
              <w:jc w:val="both"/>
              <w:rPr>
                <w:rFonts w:ascii="Times New Roman" w:hAnsi="Times New Roman" w:cs="Times New Roman"/>
                <w:sz w:val="24"/>
                <w:szCs w:val="24"/>
              </w:rPr>
            </w:pPr>
            <w:r w:rsidRPr="00F66F54">
              <w:rPr>
                <w:rFonts w:ascii="Times New Roman" w:hAnsi="Times New Roman" w:cs="Times New Roman"/>
                <w:sz w:val="24"/>
                <w:szCs w:val="24"/>
              </w:rPr>
              <w:t>stażysta wykonuje swoje obowiązki pod nadzorem opiekuna stażu, wyznaczonego na etapie przygotowań do realizacji programu stażu, który wprowadza stażystę w zakres obowiązków oraz zapoznaje z zasadami i procedurami obowiązującymi w organizacji (w tym z zasadami BHP i przeciwpożarowymi), w której odbywa staż, a także monitoruje realizację przydzielonego w programie stażu zakresu obowiązków i celów edukacyjno-zawodowych oraz udziela informacji zwrotnej stażyście na temat osiąganych wyników i stopnia realizacji zadań. Opiekun stażysty jest wyznaczany po stronie podmiotu przyjmującego na staż;</w:t>
            </w:r>
          </w:p>
          <w:p w14:paraId="40816148" w14:textId="77777777" w:rsidR="00796CF8" w:rsidRPr="00F66F54" w:rsidRDefault="00796CF8" w:rsidP="00796CF8">
            <w:pPr>
              <w:numPr>
                <w:ilvl w:val="2"/>
                <w:numId w:val="15"/>
              </w:numPr>
              <w:ind w:left="465" w:hanging="284"/>
              <w:jc w:val="both"/>
              <w:rPr>
                <w:rFonts w:ascii="Times New Roman" w:hAnsi="Times New Roman" w:cs="Times New Roman"/>
                <w:sz w:val="24"/>
                <w:szCs w:val="24"/>
              </w:rPr>
            </w:pPr>
            <w:r w:rsidRPr="00F66F54">
              <w:rPr>
                <w:rFonts w:ascii="Times New Roman" w:hAnsi="Times New Roman" w:cs="Times New Roman"/>
                <w:sz w:val="24"/>
                <w:szCs w:val="24"/>
              </w:rPr>
              <w:t>po zakończeniu stażu jest opracowywana ocena, uwzględniająca osiągnięte rezultaty oraz efekty stażu. Ocena jest opracowywana przez podmiot przyjmujący na staż w formie pisemnej;</w:t>
            </w:r>
          </w:p>
          <w:p w14:paraId="3E7DEDF5" w14:textId="77777777" w:rsidR="00796CF8" w:rsidRPr="00F66F54" w:rsidRDefault="00796CF8" w:rsidP="00796CF8">
            <w:pPr>
              <w:numPr>
                <w:ilvl w:val="2"/>
                <w:numId w:val="15"/>
              </w:numPr>
              <w:ind w:left="465" w:hanging="284"/>
              <w:jc w:val="both"/>
              <w:rPr>
                <w:rFonts w:ascii="Times New Roman" w:hAnsi="Times New Roman" w:cs="Times New Roman"/>
                <w:sz w:val="24"/>
                <w:szCs w:val="24"/>
              </w:rPr>
            </w:pPr>
            <w:r w:rsidRPr="00F66F54">
              <w:rPr>
                <w:rFonts w:ascii="Times New Roman" w:hAnsi="Times New Roman" w:cs="Times New Roman"/>
                <w:sz w:val="24"/>
                <w:szCs w:val="24"/>
              </w:rPr>
              <w:t>podmiot przyjmujący na staż umożliwia stażyście ocenę programu stażu w formie pisemnej.</w:t>
            </w:r>
          </w:p>
          <w:p w14:paraId="001EB1F0"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W uzasadnionych przypadkach staże mogą być realizowane w elastycznych godzinach lub niepełnej liczbie godzin</w:t>
            </w:r>
            <w:r w:rsidRPr="00F66F54">
              <w:rPr>
                <w:rStyle w:val="Odwoanieprzypisudolnego"/>
                <w:rFonts w:ascii="Times New Roman" w:hAnsi="Times New Roman" w:cs="Times New Roman"/>
                <w:sz w:val="24"/>
                <w:szCs w:val="24"/>
              </w:rPr>
              <w:footnoteReference w:id="12"/>
            </w:r>
            <w:r w:rsidRPr="00F66F54">
              <w:rPr>
                <w:rFonts w:ascii="Times New Roman" w:hAnsi="Times New Roman" w:cs="Times New Roman"/>
                <w:sz w:val="24"/>
                <w:szCs w:val="24"/>
              </w:rPr>
              <w:t>. Odpowiednie zapisy regulujące godziny odbywania stażu powinny zostać zapisane w umowie.</w:t>
            </w:r>
          </w:p>
          <w:p w14:paraId="349D072D"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 xml:space="preserve">Staż trwa nie dłużej niż 6 miesięcy kalendarzowych. W uzasadnionych przypadkach, wynikających ze specyfiki stanowiska pracy, na którym odbywa się staż, może być wydłużony stosownie do programu stażu. </w:t>
            </w:r>
          </w:p>
          <w:p w14:paraId="07290BAA"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lastRenderedPageBreak/>
              <w:t>W okresie odbywania stażu stażyście przysługuje stypendium stażowe</w:t>
            </w:r>
            <w:r w:rsidRPr="00F66F54">
              <w:rPr>
                <w:rStyle w:val="Odwoanieprzypisudolnego"/>
                <w:rFonts w:ascii="Times New Roman" w:hAnsi="Times New Roman" w:cs="Times New Roman"/>
                <w:sz w:val="24"/>
                <w:szCs w:val="24"/>
              </w:rPr>
              <w:footnoteReference w:id="13"/>
            </w:r>
            <w:r w:rsidRPr="00F66F54">
              <w:rPr>
                <w:rFonts w:ascii="Times New Roman" w:hAnsi="Times New Roman" w:cs="Times New Roman"/>
                <w:sz w:val="24"/>
                <w:szCs w:val="24"/>
              </w:rPr>
              <w:t>, które miesięcznie wynosi 120% zasiłku, o którym mowa w art. 72 ust. 1 pkt 1 ustawy o promocji zatrudnienia i instytucjach rynku pracy</w:t>
            </w:r>
            <w:r w:rsidRPr="00F66F54">
              <w:rPr>
                <w:rStyle w:val="Odwoanieprzypisudolnego"/>
                <w:rFonts w:ascii="Times New Roman" w:hAnsi="Times New Roman" w:cs="Times New Roman"/>
                <w:sz w:val="24"/>
                <w:szCs w:val="24"/>
              </w:rPr>
              <w:footnoteReference w:id="14"/>
            </w:r>
            <w:r w:rsidRPr="00F66F54">
              <w:rPr>
                <w:rFonts w:ascii="Times New Roman" w:hAnsi="Times New Roman" w:cs="Times New Roman"/>
                <w:sz w:val="24"/>
                <w:szCs w:val="24"/>
              </w:rPr>
              <w:t>, jeżeli miesięczna liczba godzin stażu wynosi nie mniej niż 160 godzin miesięcznie</w:t>
            </w:r>
            <w:r w:rsidRPr="00F66F54">
              <w:rPr>
                <w:rStyle w:val="Odwoanieprzypisudolnego"/>
                <w:rFonts w:ascii="Times New Roman" w:hAnsi="Times New Roman" w:cs="Times New Roman"/>
                <w:sz w:val="24"/>
                <w:szCs w:val="24"/>
              </w:rPr>
              <w:footnoteReference w:id="15"/>
            </w:r>
            <w:r w:rsidRPr="00F66F54">
              <w:rPr>
                <w:rFonts w:ascii="Times New Roman" w:hAnsi="Times New Roman" w:cs="Times New Roman"/>
                <w:sz w:val="24"/>
                <w:szCs w:val="24"/>
              </w:rPr>
              <w:t xml:space="preserve"> – w przypadku niższego miesięcznego wymiaru godzin, wysokość stypendium ustala się proporcjonalnie, chyba że w danym miesiącu nie występuje 20 dni roboczych i odbywanie stażu w mniejszej liczbie godzin stażowych jest niezawinione ze strony uczestnika i podmiotu przyjmującego na staż</w:t>
            </w:r>
            <w:r w:rsidRPr="00F66F54">
              <w:rPr>
                <w:rStyle w:val="Odwoanieprzypisudolnego"/>
                <w:rFonts w:ascii="Times New Roman" w:hAnsi="Times New Roman" w:cs="Times New Roman"/>
                <w:sz w:val="24"/>
                <w:szCs w:val="24"/>
              </w:rPr>
              <w:footnoteReference w:id="16"/>
            </w:r>
          </w:p>
          <w:p w14:paraId="4CB1311A"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Stażyści pobierający stypendium stażowe w okresie odbywania stażu podlegają obowiązkowo ubezpieczeniom emerytalnym, rentowym i wypadkowym, jeśli nie mają innych tytułów powodujących obowiązek ubezpieczeń społecznych (art. 6 ust. 1 pkt 9a w związku z art. 9 ust. 6a oraz art. 12 ustawy z dnia 13 października 1998 r. o systemie ubezpieczeń społecznych). Płatnikiem składek za te osoby jest podmiot kierujący na staż.</w:t>
            </w:r>
          </w:p>
          <w:p w14:paraId="44B5A310"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Stażyści w okresie odbywania stażu objęci są ubezpieczeniem zdrowotnym</w:t>
            </w:r>
            <w:r w:rsidRPr="00F66F54">
              <w:rPr>
                <w:rStyle w:val="Odwoanieprzypisudolnego"/>
                <w:rFonts w:ascii="Times New Roman" w:hAnsi="Times New Roman" w:cs="Times New Roman"/>
                <w:sz w:val="24"/>
                <w:szCs w:val="24"/>
              </w:rPr>
              <w:footnoteReference w:id="17"/>
            </w:r>
            <w:r w:rsidRPr="00F66F54">
              <w:rPr>
                <w:rFonts w:ascii="Times New Roman" w:hAnsi="Times New Roman" w:cs="Times New Roman"/>
                <w:sz w:val="24"/>
                <w:szCs w:val="24"/>
              </w:rPr>
              <w:t xml:space="preserve"> oraz od następstw nieszczęśliwych wypadków, z tytułu wypadku przy pracy lub choroby zawodowej. Koszt tego ubezpieczenia jest ponoszony przez podmiot kierujący na staż.</w:t>
            </w:r>
          </w:p>
          <w:p w14:paraId="073D76E1"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Koszt składek na ubezpieczenia, o których mowa pkt 5 i 6, jest wydatkiem kwalifikowalnym w projekcie, który nie zawiera się w kwocie stypendium, o którym mowa w pkt 4.</w:t>
            </w:r>
          </w:p>
          <w:p w14:paraId="5C0655F3"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Osobie odbywającej staż przysługują 2 dni wolne za każde 30 dni kalendarzowych odbytego stażu, za które przysługuje stypendium stażowe.</w:t>
            </w:r>
          </w:p>
          <w:p w14:paraId="7A1C3EAA"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Osoba zachowuje prawo do stypendium stażowego za okres udokumentowanej niezdolności do wykonywania zadań, przypadający w okresie odbywania stażu, za który na podstawie odrębnych przepisów pracownicy zachowują prawo do wynagrodzenia lub przysługują im zasiłki z ubezpieczenia społecznego w razie choroby lub macierzyństwa.</w:t>
            </w:r>
          </w:p>
          <w:p w14:paraId="289CF579"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Osobom uczestniczącym w stażu, w okresie jego trwania, można pokryć koszty opieki nad dzieckiem lub dziećmi do lat 7 oraz osobami zależnymi w wysokości wynikającej z wniosku o dofinansowanie.</w:t>
            </w:r>
          </w:p>
          <w:p w14:paraId="2881E439"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 xml:space="preserve">Zasady ewentualnego wynagrodzenia opiekuna stażysty są uregulowane w porozumieniu lub umowie pomiędzy podmiotem kierującym na staż (Beneficjentem) a podmiotem przyjmującym na staż. Dokument ten reguluje zasady refundacji wynagrodzenia opiekuna stażysty z określeniem dokumentów składanych wraz z wnioskiem o refundację oraz dokumentów, którymi powinien dysponować przyjmujący na staż w przypadku kontroli przeprowadzanych przez organizatora stażu lub organy uprawnione. Zasadność wypłaty wynagrodzenia opiekunowi stażysty powinna wynikać ze specyfiki stażu. Oceny zasadności wynagrodzenia dokonuje się </w:t>
            </w:r>
            <w:r w:rsidRPr="00F66F54">
              <w:rPr>
                <w:rFonts w:ascii="Times New Roman" w:hAnsi="Times New Roman" w:cs="Times New Roman"/>
                <w:sz w:val="24"/>
                <w:szCs w:val="24"/>
              </w:rPr>
              <w:lastRenderedPageBreak/>
              <w:t>podczas realizacji projektu, w momencie otrzymania od beneficjenta informacji dotyczącej specyfiki i miejsca odbywania stażu przez danego uczestnika</w:t>
            </w:r>
            <w:r w:rsidRPr="00F66F54">
              <w:rPr>
                <w:rStyle w:val="Odwoanieprzypisudolnego"/>
                <w:rFonts w:ascii="Times New Roman" w:hAnsi="Times New Roman" w:cs="Times New Roman"/>
                <w:sz w:val="24"/>
                <w:szCs w:val="24"/>
              </w:rPr>
              <w:footnoteReference w:id="18"/>
            </w:r>
            <w:r w:rsidRPr="00F66F54">
              <w:rPr>
                <w:rFonts w:ascii="Times New Roman" w:hAnsi="Times New Roman" w:cs="Times New Roman"/>
                <w:sz w:val="24"/>
                <w:szCs w:val="24"/>
              </w:rPr>
              <w:t>.</w:t>
            </w:r>
          </w:p>
          <w:p w14:paraId="1A1D1A34" w14:textId="77777777" w:rsidR="00796CF8" w:rsidRPr="00F66F54" w:rsidRDefault="00796CF8" w:rsidP="00796CF8">
            <w:pPr>
              <w:numPr>
                <w:ilvl w:val="0"/>
                <w:numId w:val="16"/>
              </w:numPr>
              <w:ind w:left="323"/>
              <w:jc w:val="both"/>
              <w:rPr>
                <w:rFonts w:ascii="Times New Roman" w:hAnsi="Times New Roman" w:cs="Times New Roman"/>
                <w:sz w:val="24"/>
                <w:szCs w:val="24"/>
              </w:rPr>
            </w:pPr>
            <w:r w:rsidRPr="00F66F54">
              <w:rPr>
                <w:rFonts w:ascii="Times New Roman" w:hAnsi="Times New Roman" w:cs="Times New Roman"/>
                <w:sz w:val="24"/>
                <w:szCs w:val="24"/>
              </w:rPr>
              <w:t>Koszty wynagrodzenia opiekuna stażysty są kwalifikowalne, o ile uwzględniają jedną z poniższych opcji i wynikają z założeń porozumienia w sprawie realizacji stażu</w:t>
            </w:r>
            <w:r w:rsidRPr="00F66F54">
              <w:rPr>
                <w:rStyle w:val="Odwoanieprzypisudolnego"/>
                <w:rFonts w:ascii="Times New Roman" w:hAnsi="Times New Roman" w:cs="Times New Roman"/>
                <w:sz w:val="24"/>
                <w:szCs w:val="24"/>
              </w:rPr>
              <w:footnoteReference w:id="19"/>
            </w:r>
            <w:r w:rsidRPr="00F66F54">
              <w:rPr>
                <w:rFonts w:ascii="Times New Roman" w:hAnsi="Times New Roman" w:cs="Times New Roman"/>
                <w:sz w:val="24"/>
                <w:szCs w:val="24"/>
              </w:rPr>
              <w:t>:</w:t>
            </w:r>
          </w:p>
          <w:p w14:paraId="6982F8E8" w14:textId="77777777" w:rsidR="00796CF8" w:rsidRPr="00F66F54" w:rsidRDefault="00796CF8" w:rsidP="00796CF8">
            <w:pPr>
              <w:pStyle w:val="Akapitzlist"/>
              <w:numPr>
                <w:ilvl w:val="0"/>
                <w:numId w:val="25"/>
              </w:numPr>
              <w:ind w:left="465" w:hanging="284"/>
              <w:jc w:val="both"/>
              <w:rPr>
                <w:rFonts w:ascii="Times New Roman" w:hAnsi="Times New Roman" w:cs="Times New Roman"/>
                <w:sz w:val="24"/>
                <w:szCs w:val="24"/>
              </w:rPr>
            </w:pPr>
            <w:r w:rsidRPr="00F66F54">
              <w:rPr>
                <w:rFonts w:ascii="Times New Roman" w:hAnsi="Times New Roman" w:cs="Times New Roman"/>
                <w:sz w:val="24"/>
                <w:szCs w:val="24"/>
              </w:rPr>
              <w:t>refundację podmiotowi przyjmującemu na staż dotychczasowego wynagrodzenia opiekuna stażysty w przypadku oddelegowania go wyłącznie do realizacji zadań związanych z opieką nad grupą stażystów, pod warunkiem, że opiekun stażysty nadzoruje pracę więcej niż 3 stażystów i jest to uzasadnione specyfiką stażu</w:t>
            </w:r>
            <w:r w:rsidRPr="00F66F54">
              <w:rPr>
                <w:rFonts w:ascii="Times New Roman" w:hAnsi="Times New Roman" w:cs="Times New Roman"/>
                <w:sz w:val="24"/>
                <w:szCs w:val="24"/>
                <w:vertAlign w:val="superscript"/>
              </w:rPr>
              <w:footnoteReference w:id="20"/>
            </w:r>
            <w:r w:rsidRPr="00F66F54">
              <w:rPr>
                <w:rFonts w:ascii="Times New Roman" w:hAnsi="Times New Roman" w:cs="Times New Roman"/>
                <w:sz w:val="24"/>
                <w:szCs w:val="24"/>
              </w:rPr>
              <w:t>;</w:t>
            </w:r>
          </w:p>
          <w:p w14:paraId="6093C913" w14:textId="77777777" w:rsidR="00796CF8" w:rsidRPr="00F66F54" w:rsidRDefault="00796CF8" w:rsidP="00796CF8">
            <w:pPr>
              <w:pStyle w:val="Akapitzlist"/>
              <w:numPr>
                <w:ilvl w:val="0"/>
                <w:numId w:val="25"/>
              </w:numPr>
              <w:ind w:left="465" w:hanging="284"/>
              <w:jc w:val="both"/>
              <w:rPr>
                <w:rFonts w:ascii="Times New Roman" w:hAnsi="Times New Roman" w:cs="Times New Roman"/>
                <w:sz w:val="24"/>
                <w:szCs w:val="24"/>
              </w:rPr>
            </w:pPr>
            <w:r w:rsidRPr="00F66F54">
              <w:rPr>
                <w:rFonts w:ascii="Times New Roman" w:hAnsi="Times New Roman" w:cs="Times New Roman"/>
                <w:sz w:val="24"/>
                <w:szCs w:val="24"/>
              </w:rPr>
              <w:t>refundację podmiotowi przyjmującemu na staż części dotychczasowego wynagrodzenia opiekuna stażysty w przypadku częściowego zwolnienia go od obowiązku świadczenia pracy na rzecz realizacji zadań związanych z opieką nad stażystą/ grupą stażystów w wysokości nie większej niż 500 zł brutto miesięcznie</w:t>
            </w:r>
            <w:r w:rsidRPr="00F66F54">
              <w:rPr>
                <w:rFonts w:ascii="Times New Roman" w:hAnsi="Times New Roman" w:cs="Times New Roman"/>
                <w:sz w:val="24"/>
                <w:szCs w:val="24"/>
                <w:vertAlign w:val="superscript"/>
              </w:rPr>
              <w:footnoteReference w:id="21"/>
            </w:r>
            <w:r w:rsidRPr="00F66F54">
              <w:rPr>
                <w:rFonts w:ascii="Times New Roman" w:hAnsi="Times New Roman" w:cs="Times New Roman"/>
                <w:sz w:val="24"/>
                <w:szCs w:val="24"/>
              </w:rPr>
              <w:t xml:space="preserve"> za opiekę nad pierwszym stażystą i nie więcej niż 250 zł brutto miesięcznie za każdego kolejnego stażystę, przy czym opiekun może otrzymać refundację za opiekę nad maksymalnie 3 stażystami;</w:t>
            </w:r>
          </w:p>
          <w:p w14:paraId="2095D437" w14:textId="77777777" w:rsidR="00796CF8" w:rsidRPr="00F66F54" w:rsidRDefault="00796CF8" w:rsidP="00796CF8">
            <w:pPr>
              <w:pStyle w:val="Akapitzlist"/>
              <w:numPr>
                <w:ilvl w:val="0"/>
                <w:numId w:val="25"/>
              </w:numPr>
              <w:ind w:left="465" w:hanging="284"/>
              <w:jc w:val="both"/>
              <w:rPr>
                <w:rFonts w:ascii="Times New Roman" w:hAnsi="Times New Roman" w:cs="Times New Roman"/>
                <w:sz w:val="24"/>
                <w:szCs w:val="24"/>
              </w:rPr>
            </w:pPr>
            <w:r w:rsidRPr="00F66F54">
              <w:rPr>
                <w:rFonts w:ascii="Times New Roman" w:hAnsi="Times New Roman" w:cs="Times New Roman"/>
                <w:sz w:val="24"/>
                <w:szCs w:val="24"/>
              </w:rPr>
              <w:t>refundację podmiotowi przyjmującemu na staż dodatku do wynagrodzenia opiekuna stażysty w sytuacji, gdy nie został zwolniony od obowiązku świadczenia pracy na rzecz realizacji zadań związanych z opieką nad stażystą/ grupą stażystów w wysokości nie większej niż 500 zł brutto miesięcznie za opiekę nad pierwszym stażystą i nie więcej niż 250 zł brutto miesięcznie za każdego kolejnego stażystę, przy czym opiekun może otrzymać refundację za opiekę nad maksymalnie 3 stażystami</w:t>
            </w:r>
            <w:r w:rsidRPr="00F66F54">
              <w:rPr>
                <w:rStyle w:val="Odwoanieprzypisudolnego"/>
                <w:rFonts w:ascii="Times New Roman" w:hAnsi="Times New Roman" w:cs="Times New Roman"/>
                <w:sz w:val="24"/>
                <w:szCs w:val="24"/>
              </w:rPr>
              <w:footnoteReference w:id="22"/>
            </w:r>
            <w:r w:rsidRPr="00F66F54">
              <w:rPr>
                <w:rFonts w:ascii="Times New Roman" w:hAnsi="Times New Roman" w:cs="Times New Roman"/>
                <w:sz w:val="24"/>
                <w:szCs w:val="24"/>
              </w:rPr>
              <w:t>.</w:t>
            </w:r>
          </w:p>
          <w:p w14:paraId="2EFB148E" w14:textId="77777777" w:rsidR="00796CF8" w:rsidRPr="00F66F54" w:rsidRDefault="00796CF8" w:rsidP="00796CF8">
            <w:pPr>
              <w:numPr>
                <w:ilvl w:val="0"/>
                <w:numId w:val="16"/>
              </w:numPr>
              <w:ind w:left="367" w:hanging="367"/>
              <w:jc w:val="both"/>
              <w:rPr>
                <w:rFonts w:ascii="Times New Roman" w:hAnsi="Times New Roman" w:cs="Times New Roman"/>
                <w:sz w:val="24"/>
                <w:szCs w:val="24"/>
              </w:rPr>
            </w:pPr>
            <w:r w:rsidRPr="00F66F54">
              <w:rPr>
                <w:rFonts w:ascii="Times New Roman" w:hAnsi="Times New Roman" w:cs="Times New Roman"/>
                <w:sz w:val="24"/>
                <w:szCs w:val="24"/>
              </w:rPr>
              <w:t>Funkcje opiekuna stażysty może pełnić wyłącznie osoba posiadająca co najmniej dwunastomiesięczny staż pracy na danym stanowisku, na którym odbywa się staż lub co najmniej dwunastomiesięczne doświadczenie w branży/dziedzinie, w jakiej realizowany jest staż.</w:t>
            </w:r>
          </w:p>
          <w:p w14:paraId="71504581" w14:textId="77777777" w:rsidR="00796CF8" w:rsidRPr="00F66F54" w:rsidRDefault="00796CF8" w:rsidP="00796CF8">
            <w:pPr>
              <w:numPr>
                <w:ilvl w:val="0"/>
                <w:numId w:val="16"/>
              </w:numPr>
              <w:ind w:left="367" w:hanging="367"/>
              <w:jc w:val="both"/>
              <w:rPr>
                <w:rFonts w:ascii="Times New Roman" w:hAnsi="Times New Roman" w:cs="Times New Roman"/>
                <w:sz w:val="24"/>
                <w:szCs w:val="24"/>
              </w:rPr>
            </w:pPr>
            <w:r w:rsidRPr="00F66F54">
              <w:rPr>
                <w:rFonts w:ascii="Times New Roman" w:hAnsi="Times New Roman" w:cs="Times New Roman"/>
                <w:sz w:val="24"/>
                <w:szCs w:val="24"/>
              </w:rPr>
              <w:t>Katalog wydatków przewidzianych w ramach projektu może uwzględniać koszty inne niż wskazane w pkt 4-6 i 9-11 związane z odbywaniem stażu takie jak: koszty dojazdu, koszty zakupu zużywalnych materiałów i narzędzi niezbędnych stażyście do odbycia stażu</w:t>
            </w:r>
            <w:r w:rsidRPr="00F66F54">
              <w:rPr>
                <w:rStyle w:val="Odwoanieprzypisudolnego"/>
                <w:rFonts w:ascii="Times New Roman" w:hAnsi="Times New Roman" w:cs="Times New Roman"/>
                <w:sz w:val="24"/>
                <w:szCs w:val="24"/>
              </w:rPr>
              <w:footnoteReference w:id="23"/>
            </w:r>
            <w:r w:rsidRPr="00F66F54">
              <w:rPr>
                <w:rFonts w:ascii="Times New Roman" w:hAnsi="Times New Roman" w:cs="Times New Roman"/>
                <w:sz w:val="24"/>
                <w:szCs w:val="24"/>
              </w:rPr>
              <w:t>, szkolenia BHP stażysty w wysokości nieprzekraczającej 5 000 zł brutto na 1 stażystę, które są rozliczane jako refundacja wydatków poniesionych przez podmiot przyjmujący na staż. Katalog wydatków nie obejmuje wyposażenia stanowiska stażu.</w:t>
            </w:r>
          </w:p>
          <w:p w14:paraId="2F874F5D" w14:textId="77777777" w:rsidR="00796CF8" w:rsidRPr="00F66F54" w:rsidRDefault="00796CF8" w:rsidP="00796CF8">
            <w:pPr>
              <w:numPr>
                <w:ilvl w:val="0"/>
                <w:numId w:val="16"/>
              </w:numPr>
              <w:ind w:left="367" w:hanging="367"/>
              <w:jc w:val="both"/>
              <w:rPr>
                <w:rFonts w:ascii="Times New Roman" w:hAnsi="Times New Roman" w:cs="Times New Roman"/>
                <w:sz w:val="24"/>
                <w:szCs w:val="24"/>
              </w:rPr>
            </w:pPr>
            <w:r w:rsidRPr="00F66F54">
              <w:rPr>
                <w:rFonts w:ascii="Times New Roman" w:hAnsi="Times New Roman" w:cs="Times New Roman"/>
                <w:sz w:val="24"/>
                <w:szCs w:val="24"/>
              </w:rPr>
              <w:t>Koszt zakupu ubrań roboczych Pracodawca jest obowiązany dostarczyć pracownikowi nieodpłatnie odzież i obuwie robocze, spełniające wymagania określone w Polskich Normach:</w:t>
            </w:r>
          </w:p>
          <w:p w14:paraId="74FC7308" w14:textId="77777777" w:rsidR="00796CF8" w:rsidRPr="00F66F54" w:rsidRDefault="00796CF8" w:rsidP="00796CF8">
            <w:pPr>
              <w:pStyle w:val="Akapitzlist"/>
              <w:numPr>
                <w:ilvl w:val="0"/>
                <w:numId w:val="26"/>
              </w:numPr>
              <w:ind w:left="607" w:hanging="284"/>
              <w:jc w:val="both"/>
              <w:rPr>
                <w:rFonts w:ascii="Times New Roman" w:hAnsi="Times New Roman" w:cs="Times New Roman"/>
                <w:sz w:val="24"/>
                <w:szCs w:val="24"/>
              </w:rPr>
            </w:pPr>
            <w:r w:rsidRPr="00F66F54">
              <w:rPr>
                <w:rFonts w:ascii="Times New Roman" w:hAnsi="Times New Roman" w:cs="Times New Roman"/>
                <w:sz w:val="24"/>
                <w:szCs w:val="24"/>
              </w:rPr>
              <w:t>jeżeli odzież własna pracownika może ulec zniszczeniu lub znacznemu zabrudzeniu;</w:t>
            </w:r>
          </w:p>
          <w:p w14:paraId="13D5E85B" w14:textId="77777777" w:rsidR="00796CF8" w:rsidRPr="00F66F54" w:rsidRDefault="00796CF8" w:rsidP="00796CF8">
            <w:pPr>
              <w:pStyle w:val="Akapitzlist"/>
              <w:numPr>
                <w:ilvl w:val="0"/>
                <w:numId w:val="26"/>
              </w:numPr>
              <w:ind w:left="607" w:hanging="284"/>
              <w:jc w:val="both"/>
              <w:rPr>
                <w:rFonts w:ascii="Times New Roman" w:hAnsi="Times New Roman" w:cs="Times New Roman"/>
                <w:sz w:val="24"/>
                <w:szCs w:val="24"/>
              </w:rPr>
            </w:pPr>
            <w:r w:rsidRPr="00F66F54">
              <w:rPr>
                <w:rFonts w:ascii="Times New Roman" w:hAnsi="Times New Roman" w:cs="Times New Roman"/>
                <w:sz w:val="24"/>
                <w:szCs w:val="24"/>
              </w:rPr>
              <w:t>ze względu na wymagania technologiczne, sanitarne lub bezpieczeństwa i higieny pracy.</w:t>
            </w:r>
          </w:p>
          <w:p w14:paraId="097516DB" w14:textId="103F94A6" w:rsidR="00796CF8" w:rsidRPr="00F66F54" w:rsidRDefault="00796CF8" w:rsidP="00796CF8">
            <w:pPr>
              <w:rPr>
                <w:rFonts w:ascii="Times New Roman" w:hAnsi="Times New Roman" w:cs="Times New Roman"/>
                <w:sz w:val="24"/>
                <w:szCs w:val="24"/>
              </w:rPr>
            </w:pPr>
            <w:r w:rsidRPr="00F66F54">
              <w:rPr>
                <w:rFonts w:ascii="Times New Roman" w:hAnsi="Times New Roman" w:cs="Times New Roman"/>
                <w:sz w:val="24"/>
                <w:szCs w:val="24"/>
              </w:rPr>
              <w:t>(Kodeks Pracy art. 237</w:t>
            </w:r>
            <w:r w:rsidRPr="00F66F54">
              <w:rPr>
                <w:rFonts w:ascii="Times New Roman" w:hAnsi="Times New Roman" w:cs="Times New Roman"/>
                <w:sz w:val="24"/>
                <w:szCs w:val="24"/>
                <w:vertAlign w:val="superscript"/>
              </w:rPr>
              <w:t>7</w:t>
            </w:r>
            <w:r w:rsidRPr="00F66F54">
              <w:rPr>
                <w:rFonts w:ascii="Times New Roman" w:hAnsi="Times New Roman" w:cs="Times New Roman"/>
                <w:sz w:val="24"/>
                <w:szCs w:val="24"/>
              </w:rPr>
              <w:t xml:space="preserve"> § 1).</w:t>
            </w:r>
          </w:p>
        </w:tc>
      </w:tr>
      <w:tr w:rsidR="00796CF8" w:rsidRPr="00F66F54" w14:paraId="239ACABD" w14:textId="77777777" w:rsidTr="00837E9F">
        <w:trPr>
          <w:trHeight w:val="454"/>
        </w:trPr>
        <w:tc>
          <w:tcPr>
            <w:tcW w:w="9770" w:type="dxa"/>
            <w:gridSpan w:val="5"/>
            <w:shd w:val="clear" w:color="auto" w:fill="C6D9F1" w:themeFill="text2" w:themeFillTint="33"/>
            <w:vAlign w:val="center"/>
          </w:tcPr>
          <w:p w14:paraId="5ABD19FC" w14:textId="77777777" w:rsidR="00796CF8" w:rsidRPr="00F66F54" w:rsidRDefault="00796CF8" w:rsidP="00796CF8">
            <w:pPr>
              <w:jc w:val="center"/>
              <w:rPr>
                <w:rFonts w:ascii="Times New Roman" w:hAnsi="Times New Roman" w:cs="Times New Roman"/>
                <w:b/>
                <w:sz w:val="24"/>
                <w:szCs w:val="24"/>
              </w:rPr>
            </w:pPr>
            <w:r w:rsidRPr="00F66F54">
              <w:rPr>
                <w:rFonts w:ascii="Times New Roman" w:hAnsi="Times New Roman" w:cs="Times New Roman"/>
                <w:b/>
                <w:sz w:val="24"/>
                <w:szCs w:val="24"/>
              </w:rPr>
              <w:lastRenderedPageBreak/>
              <w:t>Działania towarzyszące</w:t>
            </w:r>
          </w:p>
        </w:tc>
      </w:tr>
      <w:tr w:rsidR="00796CF8" w:rsidRPr="00F66F54" w14:paraId="29A5D61D" w14:textId="77777777" w:rsidTr="00386C92">
        <w:trPr>
          <w:trHeight w:val="20"/>
        </w:trPr>
        <w:tc>
          <w:tcPr>
            <w:tcW w:w="3096" w:type="dxa"/>
            <w:gridSpan w:val="2"/>
            <w:shd w:val="clear" w:color="auto" w:fill="C6D9F1" w:themeFill="text2" w:themeFillTint="33"/>
            <w:vAlign w:val="center"/>
          </w:tcPr>
          <w:p w14:paraId="0460879C" w14:textId="17E45A55"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Kategoria kosztu/wydatku</w:t>
            </w:r>
          </w:p>
        </w:tc>
        <w:tc>
          <w:tcPr>
            <w:tcW w:w="4599" w:type="dxa"/>
            <w:shd w:val="clear" w:color="auto" w:fill="C6D9F1" w:themeFill="text2" w:themeFillTint="33"/>
            <w:vAlign w:val="center"/>
          </w:tcPr>
          <w:p w14:paraId="3F0AE16F" w14:textId="2E6A2D12"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Opis wydatku</w:t>
            </w:r>
          </w:p>
        </w:tc>
        <w:tc>
          <w:tcPr>
            <w:tcW w:w="2075" w:type="dxa"/>
            <w:gridSpan w:val="2"/>
            <w:shd w:val="clear" w:color="auto" w:fill="C6D9F1" w:themeFill="text2" w:themeFillTint="33"/>
            <w:vAlign w:val="center"/>
          </w:tcPr>
          <w:p w14:paraId="3AB0BF40" w14:textId="7576B91F"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Cena</w:t>
            </w:r>
            <w:r w:rsidRPr="00F66F54">
              <w:rPr>
                <w:rStyle w:val="Odwoanieprzypisudolnego"/>
                <w:rFonts w:ascii="Times New Roman" w:hAnsi="Times New Roman" w:cs="Times New Roman"/>
                <w:sz w:val="24"/>
                <w:szCs w:val="24"/>
              </w:rPr>
              <w:footnoteReference w:id="24"/>
            </w:r>
            <w:r w:rsidRPr="00F66F54">
              <w:rPr>
                <w:rFonts w:ascii="Times New Roman" w:hAnsi="Times New Roman" w:cs="Times New Roman"/>
                <w:sz w:val="24"/>
                <w:szCs w:val="24"/>
              </w:rPr>
              <w:t xml:space="preserve"> (cena, której poziom nie powinien co do zasady zostać przekroczony)</w:t>
            </w:r>
          </w:p>
        </w:tc>
      </w:tr>
      <w:tr w:rsidR="00796CF8" w:rsidRPr="00F66F54" w14:paraId="583E463D" w14:textId="77777777" w:rsidTr="00796CF8">
        <w:trPr>
          <w:trHeight w:val="483"/>
        </w:trPr>
        <w:tc>
          <w:tcPr>
            <w:tcW w:w="9770" w:type="dxa"/>
            <w:gridSpan w:val="5"/>
            <w:shd w:val="clear" w:color="auto" w:fill="C6D9F1" w:themeFill="text2" w:themeFillTint="33"/>
            <w:vAlign w:val="center"/>
          </w:tcPr>
          <w:p w14:paraId="5CBCF635" w14:textId="6F345EBF"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b/>
                <w:sz w:val="24"/>
                <w:szCs w:val="24"/>
              </w:rPr>
              <w:t>Rozeznanie cen</w:t>
            </w:r>
            <w:r w:rsidRPr="00F66F54">
              <w:rPr>
                <w:rFonts w:ascii="Times New Roman" w:hAnsi="Times New Roman" w:cs="Times New Roman"/>
                <w:b/>
                <w:sz w:val="24"/>
                <w:szCs w:val="24"/>
                <w:vertAlign w:val="superscript"/>
              </w:rPr>
              <w:footnoteReference w:id="25"/>
            </w:r>
            <w:r w:rsidRPr="00F66F54">
              <w:rPr>
                <w:rFonts w:ascii="Times New Roman" w:hAnsi="Times New Roman" w:cs="Times New Roman"/>
                <w:b/>
                <w:sz w:val="24"/>
                <w:szCs w:val="24"/>
              </w:rPr>
              <w:t xml:space="preserve"> rynkowych na </w:t>
            </w:r>
            <w:r w:rsidRPr="00F66F54">
              <w:rPr>
                <w:rFonts w:ascii="Times New Roman" w:hAnsi="Times New Roman" w:cs="Times New Roman"/>
                <w:b/>
                <w:sz w:val="24"/>
                <w:szCs w:val="24"/>
              </w:rPr>
              <w:t>możliwe działania towarzyszące</w:t>
            </w:r>
          </w:p>
        </w:tc>
      </w:tr>
      <w:tr w:rsidR="00796CF8" w:rsidRPr="00F66F54" w14:paraId="39C38B73" w14:textId="77777777" w:rsidTr="00386C92">
        <w:trPr>
          <w:trHeight w:val="20"/>
        </w:trPr>
        <w:tc>
          <w:tcPr>
            <w:tcW w:w="3096" w:type="dxa"/>
            <w:gridSpan w:val="2"/>
          </w:tcPr>
          <w:p w14:paraId="12E307D0" w14:textId="1B032B75"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Przerwa kawowa</w:t>
            </w:r>
          </w:p>
        </w:tc>
        <w:tc>
          <w:tcPr>
            <w:tcW w:w="4599" w:type="dxa"/>
          </w:tcPr>
          <w:p w14:paraId="2AAF75E1" w14:textId="63A6E2D8"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Przerwa kawowa jest wydatkiem kwalifikowalnym, o ile jest to uzasadnione specyfiką realizowanego projektu. Kwalifikowalność wydatku jest możliwa tylko w przypadku gdy forma wsparcia, w ramach której przewidziano przerwę kawową dla tej samej grupy osób w danym dniu, trwa dłużej niż 4 godziny. Wydatek obejmuje: kawę, herbatę, wodę, mleko, cukier, cytrynę, drobne słone lub słodkie przekąski typu paluszki, ciastka, owoce, przy czym istnieje możliwość szerszego zakresu usługi, o ile mieści się to w określonej cenie rynkowej.</w:t>
            </w:r>
          </w:p>
        </w:tc>
        <w:tc>
          <w:tcPr>
            <w:tcW w:w="2075" w:type="dxa"/>
            <w:gridSpan w:val="2"/>
            <w:vAlign w:val="center"/>
          </w:tcPr>
          <w:p w14:paraId="2849FEDF" w14:textId="1459734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29,00 zł/osoba</w:t>
            </w:r>
          </w:p>
        </w:tc>
      </w:tr>
      <w:tr w:rsidR="00796CF8" w:rsidRPr="00F66F54" w14:paraId="42626D70" w14:textId="77777777" w:rsidTr="00386C92">
        <w:tc>
          <w:tcPr>
            <w:tcW w:w="3096" w:type="dxa"/>
            <w:gridSpan w:val="2"/>
          </w:tcPr>
          <w:p w14:paraId="5A13E489" w14:textId="7777777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Przerwa obiadowa (catering)</w:t>
            </w:r>
          </w:p>
        </w:tc>
        <w:tc>
          <w:tcPr>
            <w:tcW w:w="4599" w:type="dxa"/>
          </w:tcPr>
          <w:p w14:paraId="483338FB"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Przerwa obiadowa (catering) dla uczestników projektu jest wydatkiem kwalifikowalnym, o ile jest to uzasadnione specyfiką realizowanego projektu. Kwalifikowalność wydatku jest możliwa tylko w przypadku gdy forma wsparcia, w ramach której przewidziano przerwę obiadową dla tej samej grupy osób w danym dniu, trwa dłużej niż 6 godzin. Wydatek obejmuje: dwa dania (zupę i drugie danie) oraz napój, przy czym istnieje możliwość szerszego zakresu usługi, o ile mieści się to w określonej cenie rynkowej.</w:t>
            </w:r>
          </w:p>
        </w:tc>
        <w:tc>
          <w:tcPr>
            <w:tcW w:w="2075" w:type="dxa"/>
            <w:gridSpan w:val="2"/>
            <w:vAlign w:val="center"/>
          </w:tcPr>
          <w:p w14:paraId="701DCD85" w14:textId="119B8ABA"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36,00 zł/osoba</w:t>
            </w:r>
          </w:p>
        </w:tc>
      </w:tr>
      <w:tr w:rsidR="00796CF8" w:rsidRPr="00F66F54" w14:paraId="27AC6BEA" w14:textId="77777777" w:rsidTr="00386C92">
        <w:tc>
          <w:tcPr>
            <w:tcW w:w="3096" w:type="dxa"/>
            <w:gridSpan w:val="2"/>
          </w:tcPr>
          <w:p w14:paraId="550D40EC" w14:textId="331CE97B"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Sala komputerowa 10-16 stanowisk</w:t>
            </w:r>
          </w:p>
        </w:tc>
        <w:tc>
          <w:tcPr>
            <w:tcW w:w="4599" w:type="dxa"/>
          </w:tcPr>
          <w:p w14:paraId="78807266"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Koszt obejmuje: zapewnienie odpowiednich warunków socjalnych oraz bhp, w tym uwzględniających niwelowanie barier architektonicznych w związku z udziałem w projekcie osób niepełnosprawnych.</w:t>
            </w:r>
          </w:p>
        </w:tc>
        <w:tc>
          <w:tcPr>
            <w:tcW w:w="2075" w:type="dxa"/>
            <w:gridSpan w:val="2"/>
            <w:vAlign w:val="center"/>
          </w:tcPr>
          <w:p w14:paraId="72B1BCFF" w14:textId="19CC6001"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68,00 zł/h</w:t>
            </w:r>
          </w:p>
        </w:tc>
      </w:tr>
      <w:tr w:rsidR="00796CF8" w:rsidRPr="00F66F54" w14:paraId="2D4612F6" w14:textId="77777777" w:rsidTr="00386C92">
        <w:tc>
          <w:tcPr>
            <w:tcW w:w="3096" w:type="dxa"/>
            <w:gridSpan w:val="2"/>
          </w:tcPr>
          <w:p w14:paraId="5A215002" w14:textId="564B1225"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Sala szkoleniowa ok. 20 osób)</w:t>
            </w:r>
            <w:r w:rsidRPr="00F66F54">
              <w:rPr>
                <w:rStyle w:val="Odwoanieprzypisudolnego"/>
                <w:rFonts w:ascii="Times New Roman" w:hAnsi="Times New Roman" w:cs="Times New Roman"/>
                <w:sz w:val="24"/>
                <w:szCs w:val="24"/>
              </w:rPr>
              <w:footnoteReference w:id="26"/>
            </w:r>
          </w:p>
        </w:tc>
        <w:tc>
          <w:tcPr>
            <w:tcW w:w="1" w:type="dxa"/>
          </w:tcPr>
          <w:p w14:paraId="723A8283" w14:textId="7C8FB2ED"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 xml:space="preserve">Koszt obejmuje: zapewnienie odpowiednich warunków socjalnych oraz bhp, w tym </w:t>
            </w:r>
            <w:r w:rsidRPr="00F66F54">
              <w:rPr>
                <w:rFonts w:ascii="Times New Roman" w:hAnsi="Times New Roman" w:cs="Times New Roman"/>
                <w:sz w:val="24"/>
                <w:szCs w:val="24"/>
              </w:rPr>
              <w:lastRenderedPageBreak/>
              <w:t xml:space="preserve">uwzględniających niwelowanie barier architektonicznych w związku z udziałem w projekcie osób niepełnosprawnych. Sala szkoleniowa musi zapewnić 20 miejsc (stanowisk) szkoleniowych, być wyposażona w projektor multimedialny, flipchart lub tablicę </w:t>
            </w:r>
            <w:proofErr w:type="spellStart"/>
            <w:r w:rsidRPr="00F66F54">
              <w:rPr>
                <w:rFonts w:ascii="Times New Roman" w:hAnsi="Times New Roman" w:cs="Times New Roman"/>
                <w:sz w:val="24"/>
                <w:szCs w:val="24"/>
              </w:rPr>
              <w:t>suchościeralną</w:t>
            </w:r>
            <w:proofErr w:type="spellEnd"/>
            <w:r w:rsidRPr="00F66F54">
              <w:rPr>
                <w:rFonts w:ascii="Times New Roman" w:hAnsi="Times New Roman" w:cs="Times New Roman"/>
                <w:sz w:val="24"/>
                <w:szCs w:val="24"/>
              </w:rPr>
              <w:t xml:space="preserve"> oraz posiadać dostęp do </w:t>
            </w:r>
            <w:proofErr w:type="spellStart"/>
            <w:r w:rsidRPr="00F66F54">
              <w:rPr>
                <w:rFonts w:ascii="Times New Roman" w:hAnsi="Times New Roman" w:cs="Times New Roman"/>
                <w:sz w:val="24"/>
                <w:szCs w:val="24"/>
              </w:rPr>
              <w:t>internetu</w:t>
            </w:r>
            <w:proofErr w:type="spellEnd"/>
            <w:r w:rsidRPr="00F66F54">
              <w:rPr>
                <w:rFonts w:ascii="Times New Roman" w:hAnsi="Times New Roman" w:cs="Times New Roman"/>
                <w:sz w:val="24"/>
                <w:szCs w:val="24"/>
              </w:rPr>
              <w:t>.</w:t>
            </w:r>
          </w:p>
        </w:tc>
        <w:tc>
          <w:tcPr>
            <w:tcW w:w="2075" w:type="dxa"/>
            <w:gridSpan w:val="2"/>
            <w:vAlign w:val="center"/>
          </w:tcPr>
          <w:p w14:paraId="49ADD80C" w14:textId="0B74C640"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lastRenderedPageBreak/>
              <w:t>52,00 zł/h</w:t>
            </w:r>
          </w:p>
        </w:tc>
      </w:tr>
      <w:tr w:rsidR="00796CF8" w:rsidRPr="00F66F54" w14:paraId="1F7345EE" w14:textId="77777777" w:rsidTr="00386C92">
        <w:trPr>
          <w:trHeight w:val="20"/>
        </w:trPr>
        <w:tc>
          <w:tcPr>
            <w:tcW w:w="3096" w:type="dxa"/>
            <w:gridSpan w:val="2"/>
          </w:tcPr>
          <w:p w14:paraId="41789425" w14:textId="7777777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Noclegi</w:t>
            </w:r>
          </w:p>
        </w:tc>
        <w:tc>
          <w:tcPr>
            <w:tcW w:w="1" w:type="dxa"/>
          </w:tcPr>
          <w:p w14:paraId="49D82443" w14:textId="2FD02084"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Wydatek kwalifikowalny, o ile jest to uzasadnione specyfiką realizowanego projektu. Możliwość zagwarantowania noclegu dotyczy uczestników, którzy posiadają miejsce zamieszkania w miejscowości innej niż miejscowość, w której odbywa się szkolenie. Wydatek jest kwalifikowalny, o ile wsparcie (np. szkolenie, spotkanie) dla tej samej grupy osób trwa co najmniej dwa dni. W przypadku wsparcia trwającego nie dłużej niż jeden dzień wydatek kwalifikowalny w sytuacji, gdy miejsce prowadzenia szkolenia/spotkania jest oddalone od miejsca zamieszkania osoby w nim uczestniczącej o więcej niż 50 km (drogą publiczną, a nie w linii prostej), a jednocześnie wsparcie zaczyna się przed godziną 9.00 lub kończy po godzinie 17.00, chyba, że nie ma dostępnego dojazdu publicznymi środkami transportu.</w:t>
            </w:r>
          </w:p>
          <w:p w14:paraId="03F3E97F"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Rekomenduje się noclegi w pokojach 2-osobowych wraz ze śniadaniem w hotelu o standardzie max. 3-gwiazdkowym przy czym istnieje możliwość szerszego zakresu usługi, o ile mieści się w określonej cenie rynkowej i jest to uzasadnione celami projektu. Cena rynkowa powinna być uzależniona od rodzaju oferowanej usługi i jest niższa, jeśli finansowany jest mniejszy zakres usługi np. nocleg w pokoju wieloosobowym, tj. 3-osobowym i większym.</w:t>
            </w:r>
          </w:p>
        </w:tc>
        <w:tc>
          <w:tcPr>
            <w:tcW w:w="2075" w:type="dxa"/>
            <w:gridSpan w:val="2"/>
            <w:vAlign w:val="center"/>
          </w:tcPr>
          <w:p w14:paraId="5CF789EE" w14:textId="30913D3B" w:rsidR="00796CF8" w:rsidRPr="00F66F54" w:rsidRDefault="00796CF8" w:rsidP="00F66F54">
            <w:pPr>
              <w:ind w:left="-144" w:right="-120"/>
              <w:jc w:val="center"/>
              <w:rPr>
                <w:rFonts w:ascii="Times New Roman" w:hAnsi="Times New Roman" w:cs="Times New Roman"/>
                <w:sz w:val="24"/>
                <w:szCs w:val="24"/>
              </w:rPr>
            </w:pPr>
            <w:r w:rsidRPr="00F66F54">
              <w:rPr>
                <w:rFonts w:ascii="Times New Roman" w:hAnsi="Times New Roman" w:cs="Times New Roman"/>
                <w:sz w:val="24"/>
                <w:szCs w:val="24"/>
              </w:rPr>
              <w:t xml:space="preserve">210,00 PLN/1nocleg </w:t>
            </w:r>
            <w:r w:rsidR="00F66F54" w:rsidRPr="00F66F54">
              <w:rPr>
                <w:rFonts w:ascii="Times New Roman" w:hAnsi="Times New Roman" w:cs="Times New Roman"/>
                <w:sz w:val="24"/>
                <w:szCs w:val="24"/>
              </w:rPr>
              <w:br/>
            </w:r>
            <w:r w:rsidRPr="00F66F54">
              <w:rPr>
                <w:rFonts w:ascii="Times New Roman" w:hAnsi="Times New Roman" w:cs="Times New Roman"/>
                <w:sz w:val="24"/>
                <w:szCs w:val="24"/>
              </w:rPr>
              <w:t xml:space="preserve">w pokoju 2-osobowym dla subregionu </w:t>
            </w:r>
            <w:r w:rsidR="00F66F54">
              <w:rPr>
                <w:rFonts w:ascii="Times New Roman" w:hAnsi="Times New Roman" w:cs="Times New Roman"/>
                <w:sz w:val="24"/>
                <w:szCs w:val="24"/>
              </w:rPr>
              <w:t xml:space="preserve"> </w:t>
            </w:r>
            <w:r w:rsidRPr="00F66F54">
              <w:rPr>
                <w:rFonts w:ascii="Times New Roman" w:hAnsi="Times New Roman" w:cs="Times New Roman"/>
                <w:sz w:val="24"/>
                <w:szCs w:val="24"/>
              </w:rPr>
              <w:t>Białystok, powiat białostocki i sokólski</w:t>
            </w:r>
            <w:r w:rsidR="00F66F54" w:rsidRPr="00F66F54">
              <w:rPr>
                <w:rFonts w:ascii="Times New Roman" w:hAnsi="Times New Roman" w:cs="Times New Roman"/>
                <w:sz w:val="24"/>
                <w:szCs w:val="24"/>
              </w:rPr>
              <w:br/>
            </w:r>
            <w:r w:rsidR="00F66F54">
              <w:rPr>
                <w:rFonts w:ascii="Times New Roman" w:hAnsi="Times New Roman" w:cs="Times New Roman"/>
                <w:sz w:val="24"/>
                <w:szCs w:val="24"/>
              </w:rPr>
              <w:br/>
            </w:r>
            <w:r w:rsidRPr="00F66F54">
              <w:rPr>
                <w:rFonts w:ascii="Times New Roman" w:hAnsi="Times New Roman" w:cs="Times New Roman"/>
                <w:sz w:val="24"/>
                <w:szCs w:val="24"/>
              </w:rPr>
              <w:t xml:space="preserve">180,00 PLN/1nocleg </w:t>
            </w:r>
            <w:r w:rsidR="00F66F54" w:rsidRPr="00F66F54">
              <w:rPr>
                <w:rFonts w:ascii="Times New Roman" w:hAnsi="Times New Roman" w:cs="Times New Roman"/>
                <w:sz w:val="24"/>
                <w:szCs w:val="24"/>
              </w:rPr>
              <w:br/>
            </w:r>
            <w:r w:rsidRPr="00F66F54">
              <w:rPr>
                <w:rFonts w:ascii="Times New Roman" w:hAnsi="Times New Roman" w:cs="Times New Roman"/>
                <w:sz w:val="24"/>
                <w:szCs w:val="24"/>
              </w:rPr>
              <w:t>w pokoju 2-osobowym dla subregionu Suwałki, powiat suwalski, augustowski, sejneński, grajewski, moniecki</w:t>
            </w:r>
            <w:r w:rsidR="00F66F54" w:rsidRPr="00F66F54">
              <w:rPr>
                <w:rFonts w:ascii="Times New Roman" w:hAnsi="Times New Roman" w:cs="Times New Roman"/>
                <w:sz w:val="24"/>
                <w:szCs w:val="24"/>
              </w:rPr>
              <w:br/>
            </w:r>
            <w:r w:rsidR="00F66F54">
              <w:rPr>
                <w:rFonts w:ascii="Times New Roman" w:hAnsi="Times New Roman" w:cs="Times New Roman"/>
                <w:sz w:val="24"/>
                <w:szCs w:val="24"/>
              </w:rPr>
              <w:br/>
            </w:r>
            <w:r w:rsidRPr="00F66F54">
              <w:rPr>
                <w:rFonts w:ascii="Times New Roman" w:hAnsi="Times New Roman" w:cs="Times New Roman"/>
                <w:sz w:val="24"/>
                <w:szCs w:val="24"/>
              </w:rPr>
              <w:t xml:space="preserve">180,00 PLN/1nocleg </w:t>
            </w:r>
            <w:r w:rsidR="00F66F54" w:rsidRPr="00F66F54">
              <w:rPr>
                <w:rFonts w:ascii="Times New Roman" w:hAnsi="Times New Roman" w:cs="Times New Roman"/>
                <w:sz w:val="24"/>
                <w:szCs w:val="24"/>
              </w:rPr>
              <w:br/>
            </w:r>
            <w:r w:rsidRPr="00F66F54">
              <w:rPr>
                <w:rFonts w:ascii="Times New Roman" w:hAnsi="Times New Roman" w:cs="Times New Roman"/>
                <w:sz w:val="24"/>
                <w:szCs w:val="24"/>
              </w:rPr>
              <w:t>w pokoju 2-osobowym dla subregionu powiat bielski, wysokomazowiecki, hajnowski, siemiatycki</w:t>
            </w:r>
            <w:r w:rsidR="00F66F54" w:rsidRPr="00F66F54">
              <w:rPr>
                <w:rFonts w:ascii="Times New Roman" w:hAnsi="Times New Roman" w:cs="Times New Roman"/>
                <w:sz w:val="24"/>
                <w:szCs w:val="24"/>
              </w:rPr>
              <w:br/>
            </w:r>
            <w:r w:rsidR="00F66F54">
              <w:rPr>
                <w:rFonts w:ascii="Times New Roman" w:hAnsi="Times New Roman" w:cs="Times New Roman"/>
                <w:sz w:val="24"/>
                <w:szCs w:val="24"/>
              </w:rPr>
              <w:br/>
            </w:r>
            <w:r w:rsidRPr="00F66F54">
              <w:rPr>
                <w:rFonts w:ascii="Times New Roman" w:hAnsi="Times New Roman" w:cs="Times New Roman"/>
                <w:sz w:val="24"/>
                <w:szCs w:val="24"/>
              </w:rPr>
              <w:t xml:space="preserve">150,00 PLN/1nocleg </w:t>
            </w:r>
            <w:r w:rsidR="00F66F54" w:rsidRPr="00F66F54">
              <w:rPr>
                <w:rFonts w:ascii="Times New Roman" w:hAnsi="Times New Roman" w:cs="Times New Roman"/>
                <w:sz w:val="24"/>
                <w:szCs w:val="24"/>
              </w:rPr>
              <w:br/>
            </w:r>
            <w:r w:rsidRPr="00F66F54">
              <w:rPr>
                <w:rFonts w:ascii="Times New Roman" w:hAnsi="Times New Roman" w:cs="Times New Roman"/>
                <w:sz w:val="24"/>
                <w:szCs w:val="24"/>
              </w:rPr>
              <w:t>w pokoju 2-osobowym dla subregionu Łomża, powiat łomżyński, kolneński, zambrowski</w:t>
            </w:r>
          </w:p>
        </w:tc>
      </w:tr>
      <w:tr w:rsidR="00796CF8" w:rsidRPr="00F66F54" w14:paraId="0DCB4609" w14:textId="77777777" w:rsidTr="00386C92">
        <w:tc>
          <w:tcPr>
            <w:tcW w:w="3096" w:type="dxa"/>
            <w:gridSpan w:val="2"/>
          </w:tcPr>
          <w:p w14:paraId="244E8677" w14:textId="77777777" w:rsidR="00796CF8" w:rsidRPr="00F66F54" w:rsidRDefault="00796CF8" w:rsidP="00796CF8">
            <w:pPr>
              <w:jc w:val="center"/>
              <w:rPr>
                <w:rFonts w:ascii="Times New Roman" w:hAnsi="Times New Roman" w:cs="Times New Roman"/>
                <w:sz w:val="24"/>
                <w:szCs w:val="24"/>
              </w:rPr>
            </w:pPr>
            <w:r w:rsidRPr="00F66F54">
              <w:rPr>
                <w:rFonts w:ascii="Times New Roman" w:hAnsi="Times New Roman" w:cs="Times New Roman"/>
                <w:sz w:val="24"/>
                <w:szCs w:val="24"/>
              </w:rPr>
              <w:t>Zwrot kosztów dojazdu</w:t>
            </w:r>
          </w:p>
        </w:tc>
        <w:tc>
          <w:tcPr>
            <w:tcW w:w="1" w:type="dxa"/>
          </w:tcPr>
          <w:p w14:paraId="73895640" w14:textId="77777777" w:rsidR="00796CF8" w:rsidRPr="00F66F54" w:rsidRDefault="00796CF8" w:rsidP="00796CF8">
            <w:pPr>
              <w:jc w:val="both"/>
              <w:rPr>
                <w:rFonts w:ascii="Times New Roman" w:hAnsi="Times New Roman" w:cs="Times New Roman"/>
                <w:sz w:val="24"/>
                <w:szCs w:val="24"/>
              </w:rPr>
            </w:pPr>
            <w:r w:rsidRPr="00F66F54">
              <w:rPr>
                <w:rFonts w:ascii="Times New Roman" w:hAnsi="Times New Roman" w:cs="Times New Roman"/>
                <w:sz w:val="24"/>
                <w:szCs w:val="24"/>
              </w:rPr>
              <w:t>Zwrot kosztów dojazdu dopuszczalny jest w związku z uzasadnionymi potrzebami grupy docelowej.</w:t>
            </w:r>
          </w:p>
        </w:tc>
        <w:tc>
          <w:tcPr>
            <w:tcW w:w="2075" w:type="dxa"/>
            <w:gridSpan w:val="2"/>
            <w:vAlign w:val="center"/>
          </w:tcPr>
          <w:p w14:paraId="76BEB8FA" w14:textId="04D64432" w:rsidR="00796CF8" w:rsidRPr="00F66F54" w:rsidRDefault="00796CF8" w:rsidP="00F66F54">
            <w:pPr>
              <w:ind w:left="-2"/>
              <w:jc w:val="center"/>
              <w:rPr>
                <w:rFonts w:ascii="Times New Roman" w:hAnsi="Times New Roman" w:cs="Times New Roman"/>
                <w:sz w:val="24"/>
                <w:szCs w:val="24"/>
              </w:rPr>
            </w:pPr>
            <w:r w:rsidRPr="00F66F54">
              <w:rPr>
                <w:rFonts w:ascii="Times New Roman" w:hAnsi="Times New Roman" w:cs="Times New Roman"/>
                <w:sz w:val="24"/>
                <w:szCs w:val="24"/>
              </w:rPr>
              <w:t xml:space="preserve">Wydatek kwalifikowalny do wysokości opłat za środki transportu publicznego szynowego lub kołowego zgodnie z cennikiem </w:t>
            </w:r>
            <w:r w:rsidRPr="00F66F54">
              <w:rPr>
                <w:rFonts w:ascii="Times New Roman" w:hAnsi="Times New Roman" w:cs="Times New Roman"/>
                <w:sz w:val="24"/>
                <w:szCs w:val="24"/>
              </w:rPr>
              <w:lastRenderedPageBreak/>
              <w:t>biletów klasy II obowiązującym na danym obszarze.</w:t>
            </w:r>
          </w:p>
        </w:tc>
      </w:tr>
    </w:tbl>
    <w:p w14:paraId="21ACD035" w14:textId="77777777" w:rsidR="005232BA" w:rsidRPr="00F66F54" w:rsidRDefault="005232BA" w:rsidP="00442E77">
      <w:pPr>
        <w:spacing w:after="0" w:line="240" w:lineRule="auto"/>
        <w:jc w:val="both"/>
        <w:rPr>
          <w:rFonts w:ascii="Times New Roman" w:eastAsia="Calibri" w:hAnsi="Times New Roman" w:cs="Times New Roman"/>
          <w:b/>
          <w:sz w:val="24"/>
          <w:szCs w:val="24"/>
          <w:u w:val="single"/>
        </w:rPr>
      </w:pPr>
    </w:p>
    <w:sectPr w:rsidR="005232BA" w:rsidRPr="00F66F54" w:rsidSect="00DF11D4">
      <w:headerReference w:type="default" r:id="rId9"/>
      <w:footerReference w:type="default" r:id="rId10"/>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E765F" w14:textId="77777777" w:rsidR="00EA319B" w:rsidRDefault="00EA319B" w:rsidP="00EF1BF2">
      <w:pPr>
        <w:spacing w:after="0" w:line="240" w:lineRule="auto"/>
      </w:pPr>
      <w:r>
        <w:separator/>
      </w:r>
    </w:p>
  </w:endnote>
  <w:endnote w:type="continuationSeparator" w:id="0">
    <w:p w14:paraId="4257EC29" w14:textId="77777777" w:rsidR="00EA319B" w:rsidRDefault="00EA319B" w:rsidP="00EF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101952"/>
      <w:docPartObj>
        <w:docPartGallery w:val="Page Numbers (Bottom of Page)"/>
        <w:docPartUnique/>
      </w:docPartObj>
    </w:sdtPr>
    <w:sdtEndPr/>
    <w:sdtContent>
      <w:p w14:paraId="34FCDCB9" w14:textId="77777777" w:rsidR="00837E9F" w:rsidRDefault="00837E9F">
        <w:pPr>
          <w:pStyle w:val="Stopka"/>
          <w:jc w:val="right"/>
        </w:pPr>
        <w:r>
          <w:fldChar w:fldCharType="begin"/>
        </w:r>
        <w:r>
          <w:instrText>PAGE   \* MERGEFORMAT</w:instrText>
        </w:r>
        <w:r>
          <w:fldChar w:fldCharType="separate"/>
        </w:r>
        <w:r>
          <w:rPr>
            <w:noProof/>
          </w:rPr>
          <w:t>3</w:t>
        </w:r>
        <w:r>
          <w:fldChar w:fldCharType="end"/>
        </w:r>
      </w:p>
    </w:sdtContent>
  </w:sdt>
  <w:p w14:paraId="63AC6E2F" w14:textId="77777777" w:rsidR="00837E9F" w:rsidRDefault="00837E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030D" w14:textId="77777777" w:rsidR="00EA319B" w:rsidRDefault="00EA319B" w:rsidP="00EF1BF2">
      <w:pPr>
        <w:spacing w:after="0" w:line="240" w:lineRule="auto"/>
      </w:pPr>
      <w:r>
        <w:separator/>
      </w:r>
    </w:p>
  </w:footnote>
  <w:footnote w:type="continuationSeparator" w:id="0">
    <w:p w14:paraId="3AD082DC" w14:textId="77777777" w:rsidR="00EA319B" w:rsidRDefault="00EA319B" w:rsidP="00EF1BF2">
      <w:pPr>
        <w:spacing w:after="0" w:line="240" w:lineRule="auto"/>
      </w:pPr>
      <w:r>
        <w:continuationSeparator/>
      </w:r>
    </w:p>
  </w:footnote>
  <w:footnote w:id="1">
    <w:p w14:paraId="15A19551" w14:textId="77777777" w:rsidR="00837E9F" w:rsidRDefault="00837E9F" w:rsidP="00F5430C">
      <w:pPr>
        <w:pStyle w:val="Tekstprzypisudolnego"/>
        <w:jc w:val="both"/>
      </w:pPr>
      <w:r w:rsidRPr="00BE5503">
        <w:rPr>
          <w:rStyle w:val="Odwoanieprzypisudolnego"/>
          <w:rFonts w:ascii="Times New Roman" w:hAnsi="Times New Roman" w:cs="Times New Roman"/>
        </w:rPr>
        <w:footnoteRef/>
      </w:r>
      <w:r>
        <w:t xml:space="preserve"> </w:t>
      </w:r>
      <w:bookmarkStart w:id="0" w:name="_Hlk527024110"/>
      <w:r w:rsidRPr="00F5430C">
        <w:rPr>
          <w:rFonts w:ascii="Times New Roman" w:hAnsi="Times New Roman" w:cs="Times New Roman"/>
        </w:rPr>
        <w:t>Dopuszczalne stawki zostały określone na podstawie danych uzyskanych z rozeznania rynku wyliczonych w</w:t>
      </w:r>
      <w:r>
        <w:rPr>
          <w:rFonts w:ascii="Times New Roman" w:hAnsi="Times New Roman" w:cs="Times New Roman"/>
        </w:rPr>
        <w:t> </w:t>
      </w:r>
      <w:r w:rsidRPr="00F5430C">
        <w:rPr>
          <w:rFonts w:ascii="Times New Roman" w:hAnsi="Times New Roman" w:cs="Times New Roman"/>
        </w:rPr>
        <w:t xml:space="preserve">następujący sposób: średnia cena rynkowa z badania rynku z co najmniej </w:t>
      </w:r>
      <w:r>
        <w:rPr>
          <w:rFonts w:ascii="Times New Roman" w:hAnsi="Times New Roman" w:cs="Times New Roman"/>
        </w:rPr>
        <w:t>3</w:t>
      </w:r>
      <w:r w:rsidRPr="00F5430C">
        <w:rPr>
          <w:rFonts w:ascii="Times New Roman" w:hAnsi="Times New Roman" w:cs="Times New Roman"/>
        </w:rPr>
        <w:t xml:space="preserve"> pozyskanych ofert/publikacji</w:t>
      </w:r>
      <w:r>
        <w:rPr>
          <w:rFonts w:ascii="Times New Roman" w:hAnsi="Times New Roman" w:cs="Times New Roman"/>
        </w:rPr>
        <w:t xml:space="preserve"> zaokrąglona do pełnych złotych lub n</w:t>
      </w:r>
      <w:r w:rsidRPr="00F5430C">
        <w:rPr>
          <w:rFonts w:ascii="Times New Roman" w:hAnsi="Times New Roman" w:cs="Times New Roman"/>
        </w:rPr>
        <w:t xml:space="preserve">a podstawie danych uzyskanych z </w:t>
      </w:r>
      <w:r>
        <w:rPr>
          <w:rFonts w:ascii="Times New Roman" w:hAnsi="Times New Roman" w:cs="Times New Roman"/>
        </w:rPr>
        <w:t>projektów RPOWP realizowanych w WUP w Białymstoku,</w:t>
      </w:r>
      <w:r w:rsidRPr="00F5430C">
        <w:rPr>
          <w:rFonts w:ascii="Times New Roman" w:hAnsi="Times New Roman" w:cs="Times New Roman"/>
        </w:rPr>
        <w:t xml:space="preserve"> wyliczon</w:t>
      </w:r>
      <w:r>
        <w:rPr>
          <w:rFonts w:ascii="Times New Roman" w:hAnsi="Times New Roman" w:cs="Times New Roman"/>
        </w:rPr>
        <w:t>a</w:t>
      </w:r>
      <w:r w:rsidRPr="00F5430C">
        <w:rPr>
          <w:rFonts w:ascii="Times New Roman" w:hAnsi="Times New Roman" w:cs="Times New Roman"/>
        </w:rPr>
        <w:t xml:space="preserve"> w</w:t>
      </w:r>
      <w:r>
        <w:rPr>
          <w:rFonts w:ascii="Times New Roman" w:hAnsi="Times New Roman" w:cs="Times New Roman"/>
        </w:rPr>
        <w:t> </w:t>
      </w:r>
      <w:r w:rsidRPr="00F5430C">
        <w:rPr>
          <w:rFonts w:ascii="Times New Roman" w:hAnsi="Times New Roman" w:cs="Times New Roman"/>
        </w:rPr>
        <w:t xml:space="preserve">następujący sposób: średnia cena </w:t>
      </w:r>
      <w:r>
        <w:rPr>
          <w:rFonts w:ascii="Times New Roman" w:hAnsi="Times New Roman" w:cs="Times New Roman"/>
        </w:rPr>
        <w:t xml:space="preserve">jednostkowa wyliczona </w:t>
      </w:r>
      <w:r w:rsidRPr="00F5430C">
        <w:rPr>
          <w:rFonts w:ascii="Times New Roman" w:hAnsi="Times New Roman" w:cs="Times New Roman"/>
        </w:rPr>
        <w:t xml:space="preserve">z co najmniej </w:t>
      </w:r>
      <w:r>
        <w:rPr>
          <w:rFonts w:ascii="Times New Roman" w:hAnsi="Times New Roman" w:cs="Times New Roman"/>
        </w:rPr>
        <w:t>3</w:t>
      </w:r>
      <w:r w:rsidRPr="00F5430C">
        <w:rPr>
          <w:rFonts w:ascii="Times New Roman" w:hAnsi="Times New Roman" w:cs="Times New Roman"/>
        </w:rPr>
        <w:t xml:space="preserve"> p</w:t>
      </w:r>
      <w:r>
        <w:rPr>
          <w:rFonts w:ascii="Times New Roman" w:hAnsi="Times New Roman" w:cs="Times New Roman"/>
        </w:rPr>
        <w:t>rojektów</w:t>
      </w:r>
      <w:r w:rsidRPr="00F5430C">
        <w:rPr>
          <w:rFonts w:ascii="Times New Roman" w:hAnsi="Times New Roman" w:cs="Times New Roman"/>
        </w:rPr>
        <w:t xml:space="preserve"> zaokrąglona do pełnych złotych.</w:t>
      </w:r>
      <w:bookmarkEnd w:id="0"/>
    </w:p>
  </w:footnote>
  <w:footnote w:id="2">
    <w:p w14:paraId="0BE95373" w14:textId="77777777" w:rsidR="003701F1" w:rsidRPr="003917FC" w:rsidRDefault="003701F1">
      <w:pPr>
        <w:pStyle w:val="Tekstprzypisudolnego"/>
        <w:rPr>
          <w:rFonts w:ascii="Times New Roman" w:hAnsi="Times New Roman" w:cs="Times New Roman"/>
        </w:rPr>
      </w:pPr>
      <w:r w:rsidRPr="003917FC">
        <w:rPr>
          <w:rStyle w:val="Odwoanieprzypisudolnego"/>
          <w:rFonts w:ascii="Times New Roman" w:hAnsi="Times New Roman" w:cs="Times New Roman"/>
        </w:rPr>
        <w:footnoteRef/>
      </w:r>
      <w:r w:rsidRPr="003917FC">
        <w:rPr>
          <w:rFonts w:ascii="Times New Roman" w:hAnsi="Times New Roman" w:cs="Times New Roman"/>
        </w:rPr>
        <w:t xml:space="preserve"> Ujęte w zestawieniu ceny są kwotami brutto.</w:t>
      </w:r>
    </w:p>
  </w:footnote>
  <w:footnote w:id="3">
    <w:p w14:paraId="790B45C5" w14:textId="77777777" w:rsidR="003701F1" w:rsidRPr="00845560" w:rsidRDefault="003701F1" w:rsidP="003701F1">
      <w:pPr>
        <w:pStyle w:val="Tekstprzypisudolnego"/>
        <w:jc w:val="both"/>
        <w:rPr>
          <w:rFonts w:ascii="Times New Roman" w:hAnsi="Times New Roman" w:cs="Times New Roman"/>
        </w:rPr>
      </w:pPr>
      <w:r w:rsidRPr="003917FC">
        <w:rPr>
          <w:rStyle w:val="Odwoanieprzypisudolnego"/>
          <w:rFonts w:ascii="Times New Roman" w:hAnsi="Times New Roman" w:cs="Times New Roman"/>
        </w:rPr>
        <w:footnoteRef/>
      </w:r>
      <w:r w:rsidRPr="003917FC">
        <w:rPr>
          <w:rFonts w:ascii="Times New Roman" w:hAnsi="Times New Roman" w:cs="Times New Roman"/>
        </w:rPr>
        <w:t xml:space="preserve"> Przedstawione stawki dotyczą zakupu zewnętrznego usługi szkoleniowej, obejmującej organizację całości danej formy wsparcia, w tym </w:t>
      </w:r>
      <w:r w:rsidRPr="00845560">
        <w:rPr>
          <w:rFonts w:ascii="Times New Roman" w:hAnsi="Times New Roman" w:cs="Times New Roman"/>
        </w:rPr>
        <w:t xml:space="preserve">kosztów pracy trenera, w pełni wyposażonej sali zajęciowej oraz materiałów szkoleniowych. </w:t>
      </w:r>
      <w:r w:rsidRPr="00845560">
        <w:rPr>
          <w:rFonts w:ascii="Times New Roman" w:hAnsi="Times New Roman" w:cs="Times New Roman"/>
        </w:rPr>
        <w:br/>
        <w:t xml:space="preserve">W uzasadnionych przypadkach dopuszcza się zwiększenie liczby godzin danego szkolenia przy zachowaniu stawki za osobę określonej w </w:t>
      </w:r>
      <w:r w:rsidRPr="00845560">
        <w:rPr>
          <w:rFonts w:ascii="Times New Roman" w:hAnsi="Times New Roman" w:cs="Times New Roman"/>
          <w:i/>
        </w:rPr>
        <w:t>Zestawieniu</w:t>
      </w:r>
      <w:r w:rsidRPr="00845560">
        <w:rPr>
          <w:rFonts w:ascii="Times New Roman" w:hAnsi="Times New Roman" w:cs="Times New Roman"/>
        </w:rPr>
        <w:t>.</w:t>
      </w:r>
    </w:p>
  </w:footnote>
  <w:footnote w:id="4">
    <w:p w14:paraId="187E66B7" w14:textId="77777777" w:rsidR="003701F1" w:rsidRPr="00845560" w:rsidRDefault="003701F1" w:rsidP="00845560">
      <w:pPr>
        <w:pStyle w:val="Tekstprzypisudolnego"/>
        <w:jc w:val="both"/>
        <w:rPr>
          <w:rFonts w:ascii="Times New Roman" w:hAnsi="Times New Roman" w:cs="Times New Roman"/>
        </w:rPr>
      </w:pPr>
      <w:r w:rsidRPr="00845560">
        <w:rPr>
          <w:rStyle w:val="Odwoanieprzypisudolnego"/>
          <w:rFonts w:ascii="Times New Roman" w:hAnsi="Times New Roman" w:cs="Times New Roman"/>
        </w:rPr>
        <w:footnoteRef/>
      </w:r>
      <w:r w:rsidRPr="00845560">
        <w:rPr>
          <w:rFonts w:ascii="Times New Roman" w:hAnsi="Times New Roman" w:cs="Times New Roman"/>
        </w:rPr>
        <w:t xml:space="preserve"> W uzasadnionych przypadkach uczestnik może dobrowolnie zrezygnować z otrzymywania stypendium szkoleniowego </w:t>
      </w:r>
      <w:r>
        <w:rPr>
          <w:rFonts w:ascii="Times New Roman" w:hAnsi="Times New Roman" w:cs="Times New Roman"/>
        </w:rPr>
        <w:br/>
      </w:r>
      <w:r w:rsidRPr="00845560">
        <w:rPr>
          <w:rFonts w:ascii="Times New Roman" w:hAnsi="Times New Roman" w:cs="Times New Roman"/>
        </w:rPr>
        <w:t>w projekcie. Beneficjent jest zobowiązany do ubezpieczenia od następstw nieszczęśliwych wypadków uczestnika projektu w sytuacji rezygnacji ze stypendium.</w:t>
      </w:r>
    </w:p>
  </w:footnote>
  <w:footnote w:id="5">
    <w:p w14:paraId="4437354D" w14:textId="77777777" w:rsidR="003701F1" w:rsidRPr="003917FC" w:rsidRDefault="003701F1" w:rsidP="00845560">
      <w:pPr>
        <w:pStyle w:val="Tekstprzypisudolnego"/>
        <w:jc w:val="both"/>
        <w:rPr>
          <w:rFonts w:ascii="Times New Roman" w:hAnsi="Times New Roman" w:cs="Times New Roman"/>
        </w:rPr>
      </w:pPr>
      <w:r w:rsidRPr="00845560">
        <w:rPr>
          <w:rStyle w:val="Odwoanieprzypisudolnego"/>
          <w:rFonts w:ascii="Times New Roman" w:hAnsi="Times New Roman" w:cs="Times New Roman"/>
        </w:rPr>
        <w:footnoteRef/>
      </w:r>
      <w:r w:rsidRPr="00845560">
        <w:rPr>
          <w:rFonts w:ascii="Times New Roman" w:hAnsi="Times New Roman" w:cs="Times New Roman"/>
        </w:rPr>
        <w:t xml:space="preserve"> Kwota stypendium jest kwotą</w:t>
      </w:r>
      <w:r w:rsidRPr="003917FC">
        <w:rPr>
          <w:rFonts w:ascii="Times New Roman" w:hAnsi="Times New Roman" w:cs="Times New Roman"/>
        </w:rPr>
        <w:t xml:space="preserve"> brutto nieuwzględniającą składek na ubezpieczenie społeczne </w:t>
      </w:r>
      <w:r>
        <w:rPr>
          <w:rFonts w:ascii="Times New Roman" w:hAnsi="Times New Roman" w:cs="Times New Roman"/>
        </w:rPr>
        <w:t xml:space="preserve">i zdrowotne </w:t>
      </w:r>
      <w:r w:rsidRPr="003917FC">
        <w:rPr>
          <w:rFonts w:ascii="Times New Roman" w:hAnsi="Times New Roman" w:cs="Times New Roman"/>
        </w:rPr>
        <w:t xml:space="preserve">płaconych </w:t>
      </w:r>
      <w:r>
        <w:rPr>
          <w:rFonts w:ascii="Times New Roman" w:hAnsi="Times New Roman" w:cs="Times New Roman"/>
        </w:rPr>
        <w:br/>
        <w:t xml:space="preserve">w całości </w:t>
      </w:r>
      <w:r w:rsidRPr="003917FC">
        <w:rPr>
          <w:rFonts w:ascii="Times New Roman" w:hAnsi="Times New Roman" w:cs="Times New Roman"/>
        </w:rPr>
        <w:t xml:space="preserve">przez płatnika tj. </w:t>
      </w:r>
      <w:r>
        <w:rPr>
          <w:rFonts w:ascii="Times New Roman" w:hAnsi="Times New Roman" w:cs="Times New Roman"/>
        </w:rPr>
        <w:t>podmiot kierujący na szkolenie</w:t>
      </w:r>
      <w:r w:rsidRPr="003917FC">
        <w:rPr>
          <w:rFonts w:ascii="Times New Roman" w:hAnsi="Times New Roman" w:cs="Times New Roman"/>
        </w:rPr>
        <w:t>.</w:t>
      </w:r>
    </w:p>
  </w:footnote>
  <w:footnote w:id="6">
    <w:p w14:paraId="15049501" w14:textId="77777777" w:rsidR="003701F1" w:rsidRPr="00845560" w:rsidRDefault="003701F1" w:rsidP="00F43639">
      <w:pPr>
        <w:pStyle w:val="Tekstprzypisudolnego"/>
        <w:jc w:val="both"/>
        <w:rPr>
          <w:rFonts w:ascii="Times New Roman" w:hAnsi="Times New Roman" w:cs="Times New Roman"/>
        </w:rPr>
      </w:pPr>
      <w:r w:rsidRPr="003917FC">
        <w:rPr>
          <w:rStyle w:val="Odwoanieprzypisudolnego"/>
          <w:rFonts w:ascii="Times New Roman" w:hAnsi="Times New Roman" w:cs="Times New Roman"/>
        </w:rPr>
        <w:footnoteRef/>
      </w:r>
      <w:r w:rsidRPr="003917FC">
        <w:rPr>
          <w:rFonts w:ascii="Times New Roman" w:hAnsi="Times New Roman" w:cs="Times New Roman"/>
        </w:rPr>
        <w:t xml:space="preserve"> Z </w:t>
      </w:r>
      <w:r w:rsidRPr="00845560">
        <w:rPr>
          <w:rFonts w:ascii="Times New Roman" w:hAnsi="Times New Roman" w:cs="Times New Roman"/>
        </w:rPr>
        <w:t>uwzględnieniem waloryzacji, o której mowa w art. 72 ust. 6 ustawy o promocji zatrudnienia i instytucjach rynku pracy.</w:t>
      </w:r>
    </w:p>
  </w:footnote>
  <w:footnote w:id="7">
    <w:p w14:paraId="6BD50C85" w14:textId="77777777" w:rsidR="003701F1" w:rsidRPr="00845560" w:rsidRDefault="003701F1" w:rsidP="00845560">
      <w:pPr>
        <w:pStyle w:val="Tekstprzypisudolnego"/>
        <w:jc w:val="both"/>
        <w:rPr>
          <w:rFonts w:ascii="Times New Roman" w:hAnsi="Times New Roman" w:cs="Times New Roman"/>
        </w:rPr>
      </w:pPr>
      <w:r w:rsidRPr="00845560">
        <w:rPr>
          <w:rStyle w:val="Odwoanieprzypisudolnego"/>
          <w:rFonts w:ascii="Times New Roman" w:hAnsi="Times New Roman" w:cs="Times New Roman"/>
        </w:rPr>
        <w:footnoteRef/>
      </w:r>
      <w:r w:rsidRPr="00845560">
        <w:rPr>
          <w:rFonts w:ascii="Times New Roman" w:hAnsi="Times New Roman" w:cs="Times New Roman"/>
        </w:rPr>
        <w:t xml:space="preserve"> Zgodnie z art. 83 ust. 2 Ustawy z dnia 27 sierpnia 2004 roku o świadczeniach opieki zdrowotnej finansowanych ze środków publicznych w przypadku nieobliczania zaliczki na podatek dochodowy od osób fizycznych przez płatnika, od przychodów stanowiących podstawę wymiaru składki, zgodnie z przepisami Ustawy z dnia 26 lipca 1991 r. o podatku dochodowym od osób fizycznych, składkę na ubezpieczenie zdrowotne obliczoną za poszczególne miesiące obniża się do wysokości 0 zł.</w:t>
      </w:r>
    </w:p>
  </w:footnote>
  <w:footnote w:id="8">
    <w:p w14:paraId="5DD8BDAC" w14:textId="77777777" w:rsidR="00F66F54" w:rsidRPr="003917FC" w:rsidRDefault="00F66F54" w:rsidP="00F66F54">
      <w:pPr>
        <w:pStyle w:val="Tekstprzypisudolnego"/>
        <w:rPr>
          <w:rFonts w:ascii="Times New Roman" w:hAnsi="Times New Roman" w:cs="Times New Roman"/>
        </w:rPr>
      </w:pPr>
      <w:r w:rsidRPr="003917FC">
        <w:rPr>
          <w:rStyle w:val="Odwoanieprzypisudolnego"/>
          <w:rFonts w:ascii="Times New Roman" w:hAnsi="Times New Roman" w:cs="Times New Roman"/>
        </w:rPr>
        <w:footnoteRef/>
      </w:r>
      <w:r w:rsidRPr="003917FC">
        <w:rPr>
          <w:rFonts w:ascii="Times New Roman" w:hAnsi="Times New Roman" w:cs="Times New Roman"/>
        </w:rPr>
        <w:t xml:space="preserve"> Ujęte w zestawieniu ceny są kwotami brutto.</w:t>
      </w:r>
    </w:p>
  </w:footnote>
  <w:footnote w:id="9">
    <w:p w14:paraId="73C866A3" w14:textId="77777777" w:rsidR="00796CF8" w:rsidRPr="00845560" w:rsidRDefault="00796CF8" w:rsidP="003701F1">
      <w:pPr>
        <w:pStyle w:val="Tekstprzypisudolnego"/>
        <w:jc w:val="both"/>
        <w:rPr>
          <w:rFonts w:ascii="Times New Roman" w:hAnsi="Times New Roman" w:cs="Times New Roman"/>
        </w:rPr>
      </w:pPr>
      <w:r w:rsidRPr="003917FC">
        <w:rPr>
          <w:rStyle w:val="Odwoanieprzypisudolnego"/>
          <w:rFonts w:ascii="Times New Roman" w:hAnsi="Times New Roman" w:cs="Times New Roman"/>
        </w:rPr>
        <w:footnoteRef/>
      </w:r>
      <w:r w:rsidRPr="003917FC">
        <w:rPr>
          <w:rFonts w:ascii="Times New Roman" w:hAnsi="Times New Roman" w:cs="Times New Roman"/>
        </w:rPr>
        <w:t xml:space="preserve"> Przedstawione stawki dotyczą zakupu zewnętrznego usługi szkoleniowej, obejmującej organizację całości danej formy wsparcia, w tym </w:t>
      </w:r>
      <w:r w:rsidRPr="00845560">
        <w:rPr>
          <w:rFonts w:ascii="Times New Roman" w:hAnsi="Times New Roman" w:cs="Times New Roman"/>
        </w:rPr>
        <w:t xml:space="preserve">kosztów pracy trenera, w pełni wyposażonej sali zajęciowej oraz materiałów szkoleniowych. </w:t>
      </w:r>
      <w:r w:rsidRPr="00845560">
        <w:rPr>
          <w:rFonts w:ascii="Times New Roman" w:hAnsi="Times New Roman" w:cs="Times New Roman"/>
        </w:rPr>
        <w:br/>
        <w:t xml:space="preserve">W uzasadnionych przypadkach dopuszcza się zwiększenie liczby godzin danego szkolenia przy zachowaniu stawki za osobę określonej w </w:t>
      </w:r>
      <w:r w:rsidRPr="00845560">
        <w:rPr>
          <w:rFonts w:ascii="Times New Roman" w:hAnsi="Times New Roman" w:cs="Times New Roman"/>
          <w:i/>
        </w:rPr>
        <w:t>Zestawieniu</w:t>
      </w:r>
      <w:r w:rsidRPr="00845560">
        <w:rPr>
          <w:rFonts w:ascii="Times New Roman" w:hAnsi="Times New Roman" w:cs="Times New Roman"/>
        </w:rPr>
        <w:t>.</w:t>
      </w:r>
    </w:p>
  </w:footnote>
  <w:footnote w:id="10">
    <w:p w14:paraId="42B43E35" w14:textId="77777777" w:rsidR="00796CF8" w:rsidRPr="00944A85" w:rsidRDefault="00796CF8" w:rsidP="00796CF8">
      <w:pPr>
        <w:pStyle w:val="Tekstprzypisudolnego"/>
        <w:jc w:val="both"/>
        <w:rPr>
          <w:rFonts w:ascii="Times New Roman" w:hAnsi="Times New Roman" w:cs="Times New Roman"/>
        </w:rPr>
      </w:pPr>
      <w:r w:rsidRPr="00832146">
        <w:rPr>
          <w:rStyle w:val="Odwoanieprzypisudolnego"/>
          <w:rFonts w:ascii="Times New Roman" w:hAnsi="Times New Roman" w:cs="Times New Roman"/>
        </w:rPr>
        <w:footnoteRef/>
      </w:r>
      <w:r w:rsidRPr="00832146">
        <w:rPr>
          <w:rFonts w:ascii="Times New Roman" w:hAnsi="Times New Roman" w:cs="Times New Roman"/>
        </w:rPr>
        <w:t xml:space="preserve"> </w:t>
      </w:r>
      <w:r w:rsidRPr="003C74E1">
        <w:rPr>
          <w:rFonts w:ascii="Times New Roman" w:hAnsi="Times New Roman" w:cs="Times New Roman"/>
        </w:rPr>
        <w:t xml:space="preserve">W </w:t>
      </w:r>
      <w:r w:rsidRPr="008679EB">
        <w:rPr>
          <w:rFonts w:ascii="Times New Roman" w:hAnsi="Times New Roman" w:cs="Times New Roman"/>
        </w:rPr>
        <w:t xml:space="preserve">kwestiach nieuregulowanych niniejszym dokumentem mają zastosowanie </w:t>
      </w:r>
      <w:r w:rsidRPr="00944A85">
        <w:rPr>
          <w:rFonts w:ascii="Times New Roman" w:hAnsi="Times New Roman" w:cs="Times New Roman"/>
        </w:rPr>
        <w:t>przepisy ustawy o promocji zatrudnienia i instytucjach rynku pracy oraz odpowiednie rozporządzenia wykonawcze.</w:t>
      </w:r>
    </w:p>
  </w:footnote>
  <w:footnote w:id="11">
    <w:p w14:paraId="6BEE025A" w14:textId="2DE7BE6C" w:rsidR="00796CF8" w:rsidRPr="00944A85" w:rsidRDefault="00796CF8" w:rsidP="00944A85">
      <w:pPr>
        <w:autoSpaceDE w:val="0"/>
        <w:autoSpaceDN w:val="0"/>
        <w:adjustRightInd w:val="0"/>
        <w:spacing w:after="0" w:line="240" w:lineRule="auto"/>
        <w:jc w:val="both"/>
        <w:rPr>
          <w:rFonts w:ascii="Times New Roman" w:hAnsi="Times New Roman" w:cs="Times New Roman"/>
          <w:sz w:val="20"/>
          <w:szCs w:val="20"/>
        </w:rPr>
      </w:pPr>
      <w:r w:rsidRPr="00944A85">
        <w:rPr>
          <w:rStyle w:val="Odwoanieprzypisudolnego"/>
          <w:rFonts w:ascii="Times New Roman" w:hAnsi="Times New Roman" w:cs="Times New Roman"/>
          <w:sz w:val="20"/>
          <w:szCs w:val="20"/>
        </w:rPr>
        <w:footnoteRef/>
      </w:r>
      <w:r w:rsidRPr="00944A85">
        <w:rPr>
          <w:rFonts w:ascii="Times New Roman" w:hAnsi="Times New Roman" w:cs="Times New Roman"/>
          <w:sz w:val="20"/>
          <w:szCs w:val="20"/>
        </w:rPr>
        <w:t xml:space="preserve"> </w:t>
      </w:r>
      <w:r w:rsidRPr="00944A85">
        <w:rPr>
          <w:rFonts w:ascii="Times New Roman" w:hAnsi="Times New Roman" w:cs="Times New Roman"/>
          <w:color w:val="000000"/>
          <w:sz w:val="20"/>
          <w:szCs w:val="20"/>
        </w:rPr>
        <w:t xml:space="preserve">Dokument pn. Polska Rama Jakości Praktyk i Staży dostępny jest na stronie: </w:t>
      </w:r>
      <w:r w:rsidRPr="00944A85">
        <w:rPr>
          <w:rFonts w:ascii="Times New Roman" w:hAnsi="Times New Roman" w:cs="Times New Roman"/>
          <w:color w:val="0000FF"/>
          <w:sz w:val="20"/>
          <w:szCs w:val="20"/>
        </w:rPr>
        <w:t>https://www.parp.gov.pl/component/publications/publication/polskie-ramy-jakosci-stazy-i-praktyk-informator</w:t>
      </w:r>
    </w:p>
  </w:footnote>
  <w:footnote w:id="12">
    <w:p w14:paraId="3720A4DD" w14:textId="43C8D1BD"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Niepełna liczba godzin oznacza krótszy czas pracy uczestnika projektu odbywającego staż niż określony w rozporządzeniu Ministra Pracy i Polityki Społecznej z dnia 20 sierpnia 2009 r. w sprawie szczegółowych warunków odbywania stażu przez bezrobotnych. Realizacja stażu w elastycznych godzinach lub niepełnej liczbie godzin ma zastosowanie w odniesieniu do staży realizowanych na stanowiskach, dla których zostało to przewidziane zgodnie z zasadami obowiązującymi w podmiocie przyjmującym na staż.</w:t>
      </w:r>
    </w:p>
  </w:footnote>
  <w:footnote w:id="13">
    <w:p w14:paraId="6181A084" w14:textId="77777777"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W uzasadnionych przypadkach uczestnik może dobrowolnie zrezygnować z otrzymywania stypendium stażowego w projekcie. Beneficjent jest zobowiązany do ubezpieczenia od następstw nieszczęśliwych wypadków uczestnika projektu w sytuacji rezygnacji ze stypendium.</w:t>
      </w:r>
    </w:p>
  </w:footnote>
  <w:footnote w:id="14">
    <w:p w14:paraId="44F7C41D" w14:textId="77777777"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Z uwzględnieniem waloryzacji, o której mowa w art. 72 ust. 6 ustawy o promocji zatrudnienia i instytucjach rynku pracy.</w:t>
      </w:r>
    </w:p>
  </w:footnote>
  <w:footnote w:id="15">
    <w:p w14:paraId="702B7668" w14:textId="77777777"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W przypadku osób z niepełnosprawnością zaliczonych do znacznego lub umiarkowanego stopnia niepełnosprawności miesięczne stypendium przysługuje pod warunkiem, że miesięczna liczba godzin stażu wynosi nie mniej niż 140 godzin miesięcznie. Ponadto, wskazany minimalny wymiar godzinowy nie ma zastosowania w odniesieniu do staży realizowanych na stanowiskach pracy, dla których przewidziano krótszy czas pracy zgodnie z obowiązującymi przepisami.</w:t>
      </w:r>
    </w:p>
  </w:footnote>
  <w:footnote w:id="16">
    <w:p w14:paraId="4E6A66DF" w14:textId="77777777"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Kwota stypendium stażowego jest kwotą brutto nieuwzględniającą składek na ubezpieczenia społeczne płaconych w całości przez płatnika, tj. podmiot kierujący na staż.</w:t>
      </w:r>
    </w:p>
  </w:footnote>
  <w:footnote w:id="17">
    <w:p w14:paraId="1672AB23" w14:textId="2991561F"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Zgodnie z art. 83 ust. 2 Ustawy z dnia 27 sierpnia 2004 roku o świadczeniach opieki zdrowotnej finansowanych ze środków publicznych w przypadku nieobliczania zaliczki na podatek dochodowy od osób fizycznych przez płatnika, od przychodów stanowiących podstawę wymiaru składki, zgodnie z przepisami Ustawy z dnia 26 lipca 1991 r. o podatku dochodowym od osób fizycznych, składkę na ubezpieczenie zdrowotne obliczoną za poszczególne miesiące obniża się do wysokości 0 zł. </w:t>
      </w:r>
    </w:p>
  </w:footnote>
  <w:footnote w:id="18">
    <w:p w14:paraId="0B54AA2F" w14:textId="49CD1F69"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Ocena zasadności wydatku związanego z wynagrodzeniem dokonywana jest zgodnie z Wytycznymi w zakresie kwalifikowalności wydatków w ramach Europejskiego Funduszu Rozwoju Regionalnego, Europejskiego Funduszu Społecznego oraz Funduszu Spójności na lata 2014 – 2020, Podrozdział 6.2 Ocena kwalifikowalności wydatku.</w:t>
      </w:r>
    </w:p>
  </w:footnote>
  <w:footnote w:id="19">
    <w:p w14:paraId="3494D960" w14:textId="4D7B0878"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Wysokość refundacji, o których mowa w punktach a – c naliczana jest proporcjonalnie do liczby godzin stażu zrealizowanego w danym miesiącu przez osoby odbywające staż. Liczba ta uwzględnia 2 dni wolne przysługujące osobie odbywającej staż, o których mowa w pkt. 9, z których skorzystanie nie pomniejsza wysokości refundacji.</w:t>
      </w:r>
    </w:p>
  </w:footnote>
  <w:footnote w:id="20">
    <w:p w14:paraId="30D71103" w14:textId="77777777"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Taka forma refundacji nie przysługuje osobom prowadzącym jednoosobową działalność gospodarczą.</w:t>
      </w:r>
    </w:p>
  </w:footnote>
  <w:footnote w:id="21">
    <w:p w14:paraId="45B47CDA" w14:textId="77777777"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Kwoty wynagrodzenia opiekuna stażysty, o których mowa w tym rozdziale, nie uwzględniają kosztów po stronie pracodawcy.</w:t>
      </w:r>
    </w:p>
  </w:footnote>
  <w:footnote w:id="22">
    <w:p w14:paraId="787F1E6C" w14:textId="653B0FAE"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Taka forma refundacji nie przysługuje osobom prowadzącym jednoosobową działalność gospodarczą.</w:t>
      </w:r>
    </w:p>
  </w:footnote>
  <w:footnote w:id="23">
    <w:p w14:paraId="23E449D8" w14:textId="342FADE5" w:rsidR="00796CF8" w:rsidRPr="00944A85" w:rsidRDefault="00796CF8" w:rsidP="00944A85">
      <w:pPr>
        <w:pStyle w:val="Tekstprzypisudolnego"/>
        <w:jc w:val="both"/>
        <w:rPr>
          <w:rFonts w:ascii="Times New Roman" w:hAnsi="Times New Roman" w:cs="Times New Roman"/>
        </w:rPr>
      </w:pPr>
      <w:r w:rsidRPr="00944A85">
        <w:rPr>
          <w:rStyle w:val="Odwoanieprzypisudolnego"/>
          <w:rFonts w:ascii="Times New Roman" w:hAnsi="Times New Roman" w:cs="Times New Roman"/>
        </w:rPr>
        <w:footnoteRef/>
      </w:r>
      <w:r w:rsidRPr="00944A85">
        <w:rPr>
          <w:rFonts w:ascii="Times New Roman" w:hAnsi="Times New Roman" w:cs="Times New Roman"/>
        </w:rPr>
        <w:t xml:space="preserve"> Dotyczy to zakupu materiałów ulegających zużyciu, wyczerpaniu lub degradacji w wyniku normalnej eksploatacji w czasie realizacji zadań stażowych, w przypadku gdy brak ich finansowania w projekcie skutkowałby zubożeniem praktycznego wymiaru stażu; powinny to być wyłącznie materiały w ilości niezbędnej i ściśle powiązanej z programem kształcenia i programem stażu.</w:t>
      </w:r>
    </w:p>
  </w:footnote>
  <w:footnote w:id="24">
    <w:p w14:paraId="66A8C82E" w14:textId="77777777" w:rsidR="00796CF8" w:rsidRPr="003917FC" w:rsidRDefault="00796CF8">
      <w:pPr>
        <w:pStyle w:val="Tekstprzypisudolnego"/>
        <w:rPr>
          <w:rFonts w:ascii="Times New Roman" w:hAnsi="Times New Roman" w:cs="Times New Roman"/>
        </w:rPr>
      </w:pPr>
      <w:r w:rsidRPr="003917FC">
        <w:rPr>
          <w:rStyle w:val="Odwoanieprzypisudolnego"/>
          <w:rFonts w:ascii="Times New Roman" w:hAnsi="Times New Roman" w:cs="Times New Roman"/>
        </w:rPr>
        <w:footnoteRef/>
      </w:r>
      <w:r w:rsidRPr="003917FC">
        <w:rPr>
          <w:rFonts w:ascii="Times New Roman" w:hAnsi="Times New Roman" w:cs="Times New Roman"/>
        </w:rPr>
        <w:t xml:space="preserve"> Ujęte w zestawieniu ceny są kwotami brutto.</w:t>
      </w:r>
    </w:p>
  </w:footnote>
  <w:footnote w:id="25">
    <w:p w14:paraId="5060E1DB" w14:textId="77777777" w:rsidR="00796CF8" w:rsidRPr="00845560" w:rsidRDefault="00796CF8" w:rsidP="003701F1">
      <w:pPr>
        <w:pStyle w:val="Tekstprzypisudolnego"/>
        <w:jc w:val="both"/>
        <w:rPr>
          <w:rFonts w:ascii="Times New Roman" w:hAnsi="Times New Roman" w:cs="Times New Roman"/>
        </w:rPr>
      </w:pPr>
      <w:r w:rsidRPr="003917FC">
        <w:rPr>
          <w:rStyle w:val="Odwoanieprzypisudolnego"/>
          <w:rFonts w:ascii="Times New Roman" w:hAnsi="Times New Roman" w:cs="Times New Roman"/>
        </w:rPr>
        <w:footnoteRef/>
      </w:r>
      <w:r w:rsidRPr="003917FC">
        <w:rPr>
          <w:rFonts w:ascii="Times New Roman" w:hAnsi="Times New Roman" w:cs="Times New Roman"/>
        </w:rPr>
        <w:t xml:space="preserve"> Przedstawione stawki dotyczą zakupu zewnętrznego usługi szkoleniowej, obejmującej organizację całości danej formy wsparcia, w tym </w:t>
      </w:r>
      <w:r w:rsidRPr="00845560">
        <w:rPr>
          <w:rFonts w:ascii="Times New Roman" w:hAnsi="Times New Roman" w:cs="Times New Roman"/>
        </w:rPr>
        <w:t xml:space="preserve">kosztów pracy trenera, w pełni wyposażonej sali zajęciowej oraz materiałów szkoleniowych. </w:t>
      </w:r>
      <w:r w:rsidRPr="00845560">
        <w:rPr>
          <w:rFonts w:ascii="Times New Roman" w:hAnsi="Times New Roman" w:cs="Times New Roman"/>
        </w:rPr>
        <w:br/>
        <w:t xml:space="preserve">W uzasadnionych przypadkach dopuszcza się zwiększenie liczby godzin danego szkolenia przy zachowaniu stawki za osobę określonej w </w:t>
      </w:r>
      <w:r w:rsidRPr="00845560">
        <w:rPr>
          <w:rFonts w:ascii="Times New Roman" w:hAnsi="Times New Roman" w:cs="Times New Roman"/>
          <w:i/>
        </w:rPr>
        <w:t>Zestawieniu</w:t>
      </w:r>
      <w:r w:rsidRPr="00845560">
        <w:rPr>
          <w:rFonts w:ascii="Times New Roman" w:hAnsi="Times New Roman" w:cs="Times New Roman"/>
        </w:rPr>
        <w:t>.</w:t>
      </w:r>
    </w:p>
  </w:footnote>
  <w:footnote w:id="26">
    <w:p w14:paraId="61A46759" w14:textId="77777777" w:rsidR="00796CF8" w:rsidRPr="000941F4" w:rsidRDefault="00796CF8" w:rsidP="00964D03">
      <w:pPr>
        <w:pStyle w:val="Tekstprzypisudolnego"/>
        <w:jc w:val="both"/>
        <w:rPr>
          <w:rFonts w:ascii="Times New Roman" w:hAnsi="Times New Roman" w:cs="Times New Roman"/>
        </w:rPr>
      </w:pPr>
      <w:r w:rsidRPr="000941F4">
        <w:rPr>
          <w:rStyle w:val="Odwoanieprzypisudolnego"/>
          <w:rFonts w:ascii="Times New Roman" w:hAnsi="Times New Roman" w:cs="Times New Roman"/>
        </w:rPr>
        <w:footnoteRef/>
      </w:r>
      <w:r w:rsidRPr="000941F4">
        <w:rPr>
          <w:rFonts w:ascii="Times New Roman" w:hAnsi="Times New Roman" w:cs="Times New Roman"/>
        </w:rPr>
        <w:t xml:space="preserve"> </w:t>
      </w:r>
      <w:bookmarkStart w:id="2" w:name="_Hlk527117882"/>
      <w:r w:rsidRPr="000941F4">
        <w:rPr>
          <w:rFonts w:ascii="Times New Roman" w:hAnsi="Times New Roman" w:cs="Times New Roman"/>
        </w:rPr>
        <w:t>W przypadku, gdy podmiot realizujący projekt wnosi sale jako wkład własny niepieniężny, wartość wkładu wycenia się jako koszt amortyzacji lub wynajmu (stawkę można określić, np. cennik danej instytucji).</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910A" w14:textId="77777777" w:rsidR="00837E9F" w:rsidRDefault="00837E9F" w:rsidP="00653575">
    <w:pPr>
      <w:pStyle w:val="Nagwek"/>
      <w:jc w:val="center"/>
    </w:pPr>
    <w:r>
      <w:rPr>
        <w:noProof/>
      </w:rPr>
      <w:drawing>
        <wp:inline distT="0" distB="0" distL="0" distR="0" wp14:anchorId="461ABAB5" wp14:editId="0A799064">
          <wp:extent cx="5972810" cy="520065"/>
          <wp:effectExtent l="0" t="0" r="8890" b="0"/>
          <wp:docPr id="1" name="Obraz 1" descr="C:\Users\pawluszewicz_dorota\Desktop\zmiany wizualizacji\Rpo\Zestaw_logotypow_monochrom_GRAY_EFS.jpg"/>
          <wp:cNvGraphicFramePr/>
          <a:graphic xmlns:a="http://schemas.openxmlformats.org/drawingml/2006/main">
            <a:graphicData uri="http://schemas.openxmlformats.org/drawingml/2006/picture">
              <pic:pic xmlns:pic="http://schemas.openxmlformats.org/drawingml/2006/picture">
                <pic:nvPicPr>
                  <pic:cNvPr id="1" name="Obraz 1" descr="C:\Users\pawluszewicz_dorota\Desktop\zmiany wizualizacji\Rpo\Zestaw_logotypow_monochrom_GRAY_EF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520065"/>
                  </a:xfrm>
                  <a:prstGeom prst="rect">
                    <a:avLst/>
                  </a:prstGeom>
                  <a:noFill/>
                  <a:ln>
                    <a:noFill/>
                  </a:ln>
                </pic:spPr>
              </pic:pic>
            </a:graphicData>
          </a:graphic>
        </wp:inline>
      </w:drawing>
    </w:r>
  </w:p>
  <w:p w14:paraId="0C4CE62E" w14:textId="77777777" w:rsidR="00837E9F" w:rsidRDefault="00837E9F" w:rsidP="00653575">
    <w:pPr>
      <w:pStyle w:val="Nagwek"/>
      <w:jc w:val="center"/>
    </w:pPr>
  </w:p>
  <w:p w14:paraId="7D27395D" w14:textId="77777777" w:rsidR="00837E9F" w:rsidRPr="00653575" w:rsidRDefault="00837E9F" w:rsidP="0065357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5390"/>
    <w:multiLevelType w:val="hybridMultilevel"/>
    <w:tmpl w:val="3E26A6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190BC1"/>
    <w:multiLevelType w:val="hybridMultilevel"/>
    <w:tmpl w:val="5914D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B79EF"/>
    <w:multiLevelType w:val="hybridMultilevel"/>
    <w:tmpl w:val="49189B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410954"/>
    <w:multiLevelType w:val="hybridMultilevel"/>
    <w:tmpl w:val="2BB29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061645"/>
    <w:multiLevelType w:val="hybridMultilevel"/>
    <w:tmpl w:val="AB30E3D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B473A"/>
    <w:multiLevelType w:val="hybridMultilevel"/>
    <w:tmpl w:val="5FC0D42A"/>
    <w:lvl w:ilvl="0" w:tplc="04150019">
      <w:start w:val="1"/>
      <w:numFmt w:val="lowerLetter"/>
      <w:lvlText w:val="%1."/>
      <w:lvlJc w:val="left"/>
      <w:pPr>
        <w:ind w:left="1043" w:hanging="360"/>
      </w:p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abstractNum w:abstractNumId="6" w15:restartNumberingAfterBreak="0">
    <w:nsid w:val="11761E17"/>
    <w:multiLevelType w:val="hybridMultilevel"/>
    <w:tmpl w:val="10863C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BB7050"/>
    <w:multiLevelType w:val="hybridMultilevel"/>
    <w:tmpl w:val="B29EE9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1D6AA2"/>
    <w:multiLevelType w:val="hybridMultilevel"/>
    <w:tmpl w:val="1ACEB4EA"/>
    <w:lvl w:ilvl="0" w:tplc="04150019">
      <w:start w:val="1"/>
      <w:numFmt w:val="lowerLetter"/>
      <w:lvlText w:val="%1."/>
      <w:lvlJc w:val="left"/>
      <w:pPr>
        <w:ind w:left="1043" w:hanging="360"/>
      </w:p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abstractNum w:abstractNumId="9" w15:restartNumberingAfterBreak="0">
    <w:nsid w:val="180E0CBE"/>
    <w:multiLevelType w:val="hybridMultilevel"/>
    <w:tmpl w:val="16309694"/>
    <w:lvl w:ilvl="0" w:tplc="2F9283AE">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10" w15:restartNumberingAfterBreak="0">
    <w:nsid w:val="196D2B3B"/>
    <w:multiLevelType w:val="hybridMultilevel"/>
    <w:tmpl w:val="4CB40E78"/>
    <w:lvl w:ilvl="0" w:tplc="2F9283AE">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1BD749DA"/>
    <w:multiLevelType w:val="hybridMultilevel"/>
    <w:tmpl w:val="2F94B72E"/>
    <w:lvl w:ilvl="0" w:tplc="2F9283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E5D18F4"/>
    <w:multiLevelType w:val="hybridMultilevel"/>
    <w:tmpl w:val="2F740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B762EF"/>
    <w:multiLevelType w:val="hybridMultilevel"/>
    <w:tmpl w:val="620A9B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7121E4"/>
    <w:multiLevelType w:val="hybridMultilevel"/>
    <w:tmpl w:val="261A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E5FC1"/>
    <w:multiLevelType w:val="hybridMultilevel"/>
    <w:tmpl w:val="CA4A2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15E18"/>
    <w:multiLevelType w:val="hybridMultilevel"/>
    <w:tmpl w:val="6734CE2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AE4C3A"/>
    <w:multiLevelType w:val="hybridMultilevel"/>
    <w:tmpl w:val="B9907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B70A6B"/>
    <w:multiLevelType w:val="hybridMultilevel"/>
    <w:tmpl w:val="4448E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891393"/>
    <w:multiLevelType w:val="hybridMultilevel"/>
    <w:tmpl w:val="584A6404"/>
    <w:lvl w:ilvl="0" w:tplc="2F9283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A96E5C"/>
    <w:multiLevelType w:val="hybridMultilevel"/>
    <w:tmpl w:val="094E495E"/>
    <w:lvl w:ilvl="0" w:tplc="D1C4F222">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BE715E"/>
    <w:multiLevelType w:val="hybridMultilevel"/>
    <w:tmpl w:val="06B800E6"/>
    <w:lvl w:ilvl="0" w:tplc="D8FCCD90">
      <w:start w:val="1"/>
      <w:numFmt w:val="lowerLetter"/>
      <w:lvlText w:val="%1."/>
      <w:lvlJc w:val="left"/>
      <w:pPr>
        <w:ind w:left="10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D0721D"/>
    <w:multiLevelType w:val="hybridMultilevel"/>
    <w:tmpl w:val="46603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036B0E"/>
    <w:multiLevelType w:val="hybridMultilevel"/>
    <w:tmpl w:val="140C621C"/>
    <w:lvl w:ilvl="0" w:tplc="0415000F">
      <w:start w:val="1"/>
      <w:numFmt w:val="decimal"/>
      <w:lvlText w:val="%1."/>
      <w:lvlJc w:val="left"/>
      <w:pPr>
        <w:ind w:left="901" w:hanging="360"/>
      </w:pPr>
    </w:lvl>
    <w:lvl w:ilvl="1" w:tplc="0415000F">
      <w:start w:val="1"/>
      <w:numFmt w:val="decimal"/>
      <w:lvlText w:val="%2."/>
      <w:lvlJc w:val="left"/>
      <w:pPr>
        <w:ind w:left="1621" w:hanging="360"/>
      </w:pPr>
    </w:lvl>
    <w:lvl w:ilvl="2" w:tplc="42B0B904">
      <w:start w:val="1"/>
      <w:numFmt w:val="lowerLetter"/>
      <w:lvlText w:val="%3)"/>
      <w:lvlJc w:val="left"/>
      <w:pPr>
        <w:ind w:left="2521" w:hanging="360"/>
      </w:pPr>
      <w:rPr>
        <w:rFonts w:hint="default"/>
      </w:r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4" w15:restartNumberingAfterBreak="0">
    <w:nsid w:val="48BF1A4C"/>
    <w:multiLevelType w:val="hybridMultilevel"/>
    <w:tmpl w:val="16A418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B577BC"/>
    <w:multiLevelType w:val="hybridMultilevel"/>
    <w:tmpl w:val="5C2A4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8431E4"/>
    <w:multiLevelType w:val="hybridMultilevel"/>
    <w:tmpl w:val="F0A80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EC22B0"/>
    <w:multiLevelType w:val="hybridMultilevel"/>
    <w:tmpl w:val="F8F6B290"/>
    <w:lvl w:ilvl="0" w:tplc="2F9283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085E3C"/>
    <w:multiLevelType w:val="hybridMultilevel"/>
    <w:tmpl w:val="80524CEA"/>
    <w:lvl w:ilvl="0" w:tplc="04150017">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7">
      <w:start w:val="1"/>
      <w:numFmt w:val="lowerLetter"/>
      <w:lvlText w:val="%3)"/>
      <w:lvlJc w:val="lef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9" w15:restartNumberingAfterBreak="0">
    <w:nsid w:val="57180CA4"/>
    <w:multiLevelType w:val="hybridMultilevel"/>
    <w:tmpl w:val="570E5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EF7420"/>
    <w:multiLevelType w:val="hybridMultilevel"/>
    <w:tmpl w:val="D6A049EE"/>
    <w:lvl w:ilvl="0" w:tplc="04150017">
      <w:start w:val="1"/>
      <w:numFmt w:val="lowerLetter"/>
      <w:lvlText w:val="%1)"/>
      <w:lvlJc w:val="left"/>
      <w:pPr>
        <w:ind w:left="1185" w:hanging="360"/>
      </w:pPr>
    </w:lvl>
    <w:lvl w:ilvl="1" w:tplc="04150019" w:tentative="1">
      <w:start w:val="1"/>
      <w:numFmt w:val="lowerLetter"/>
      <w:lvlText w:val="%2."/>
      <w:lvlJc w:val="left"/>
      <w:pPr>
        <w:ind w:left="1905" w:hanging="360"/>
      </w:pPr>
    </w:lvl>
    <w:lvl w:ilvl="2" w:tplc="04150017">
      <w:start w:val="1"/>
      <w:numFmt w:val="lowerLetter"/>
      <w:lvlText w:val="%3)"/>
      <w:lvlJc w:val="lef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31" w15:restartNumberingAfterBreak="0">
    <w:nsid w:val="65AF4A67"/>
    <w:multiLevelType w:val="hybridMultilevel"/>
    <w:tmpl w:val="348061CE"/>
    <w:lvl w:ilvl="0" w:tplc="04150017">
      <w:start w:val="1"/>
      <w:numFmt w:val="lowerLetter"/>
      <w:lvlText w:val="%1)"/>
      <w:lvlJc w:val="left"/>
      <w:pPr>
        <w:ind w:left="1043" w:hanging="360"/>
      </w:p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abstractNum w:abstractNumId="32" w15:restartNumberingAfterBreak="0">
    <w:nsid w:val="66F47A2B"/>
    <w:multiLevelType w:val="hybridMultilevel"/>
    <w:tmpl w:val="2EFCD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CE5161"/>
    <w:multiLevelType w:val="hybridMultilevel"/>
    <w:tmpl w:val="22F8F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2D7BA0"/>
    <w:multiLevelType w:val="hybridMultilevel"/>
    <w:tmpl w:val="19FE804A"/>
    <w:lvl w:ilvl="0" w:tplc="0415000F">
      <w:start w:val="1"/>
      <w:numFmt w:val="decimal"/>
      <w:lvlText w:val="%1."/>
      <w:lvlJc w:val="left"/>
      <w:pPr>
        <w:ind w:left="720" w:hanging="360"/>
      </w:pPr>
    </w:lvl>
    <w:lvl w:ilvl="1" w:tplc="0142B8FA">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4363A4"/>
    <w:multiLevelType w:val="hybridMultilevel"/>
    <w:tmpl w:val="2C44752C"/>
    <w:lvl w:ilvl="0" w:tplc="04150011">
      <w:start w:val="1"/>
      <w:numFmt w:val="decimal"/>
      <w:lvlText w:val="%1)"/>
      <w:lvlJc w:val="left"/>
      <w:pPr>
        <w:ind w:left="901" w:hanging="360"/>
      </w:pPr>
    </w:lvl>
    <w:lvl w:ilvl="1" w:tplc="0415000F">
      <w:start w:val="1"/>
      <w:numFmt w:val="decimal"/>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36" w15:restartNumberingAfterBreak="0">
    <w:nsid w:val="7A65367C"/>
    <w:multiLevelType w:val="hybridMultilevel"/>
    <w:tmpl w:val="49189B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326CC8"/>
    <w:multiLevelType w:val="hybridMultilevel"/>
    <w:tmpl w:val="878EB41E"/>
    <w:lvl w:ilvl="0" w:tplc="BAF4D51E">
      <w:start w:val="1"/>
      <w:numFmt w:val="lowerLetter"/>
      <w:lvlText w:val="%1)"/>
      <w:lvlJc w:val="left"/>
      <w:pPr>
        <w:ind w:left="765" w:hanging="360"/>
      </w:pPr>
      <w:rPr>
        <w:rFonts w:hint="default"/>
      </w:rPr>
    </w:lvl>
    <w:lvl w:ilvl="1" w:tplc="8526ABBE">
      <w:start w:val="1"/>
      <w:numFmt w:val="decimal"/>
      <w:lvlText w:val="%2."/>
      <w:lvlJc w:val="left"/>
      <w:pPr>
        <w:ind w:left="1485" w:hanging="360"/>
      </w:pPr>
      <w:rPr>
        <w:rFonts w:hint="default"/>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8" w15:restartNumberingAfterBreak="0">
    <w:nsid w:val="7F1A5C8B"/>
    <w:multiLevelType w:val="hybridMultilevel"/>
    <w:tmpl w:val="1AF0CA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7"/>
  </w:num>
  <w:num w:numId="3">
    <w:abstractNumId w:val="7"/>
  </w:num>
  <w:num w:numId="4">
    <w:abstractNumId w:val="37"/>
  </w:num>
  <w:num w:numId="5">
    <w:abstractNumId w:val="11"/>
  </w:num>
  <w:num w:numId="6">
    <w:abstractNumId w:val="10"/>
  </w:num>
  <w:num w:numId="7">
    <w:abstractNumId w:val="38"/>
  </w:num>
  <w:num w:numId="8">
    <w:abstractNumId w:val="4"/>
  </w:num>
  <w:num w:numId="9">
    <w:abstractNumId w:val="30"/>
  </w:num>
  <w:num w:numId="10">
    <w:abstractNumId w:val="16"/>
  </w:num>
  <w:num w:numId="11">
    <w:abstractNumId w:val="9"/>
  </w:num>
  <w:num w:numId="12">
    <w:abstractNumId w:val="23"/>
  </w:num>
  <w:num w:numId="13">
    <w:abstractNumId w:val="35"/>
  </w:num>
  <w:num w:numId="14">
    <w:abstractNumId w:val="20"/>
  </w:num>
  <w:num w:numId="15">
    <w:abstractNumId w:val="28"/>
  </w:num>
  <w:num w:numId="16">
    <w:abstractNumId w:val="12"/>
  </w:num>
  <w:num w:numId="17">
    <w:abstractNumId w:val="0"/>
  </w:num>
  <w:num w:numId="18">
    <w:abstractNumId w:val="34"/>
  </w:num>
  <w:num w:numId="19">
    <w:abstractNumId w:val="22"/>
  </w:num>
  <w:num w:numId="20">
    <w:abstractNumId w:val="15"/>
  </w:num>
  <w:num w:numId="21">
    <w:abstractNumId w:val="8"/>
  </w:num>
  <w:num w:numId="22">
    <w:abstractNumId w:val="5"/>
  </w:num>
  <w:num w:numId="23">
    <w:abstractNumId w:val="17"/>
  </w:num>
  <w:num w:numId="24">
    <w:abstractNumId w:val="31"/>
  </w:num>
  <w:num w:numId="25">
    <w:abstractNumId w:val="24"/>
  </w:num>
  <w:num w:numId="26">
    <w:abstractNumId w:val="21"/>
  </w:num>
  <w:num w:numId="27">
    <w:abstractNumId w:val="13"/>
  </w:num>
  <w:num w:numId="28">
    <w:abstractNumId w:val="18"/>
  </w:num>
  <w:num w:numId="29">
    <w:abstractNumId w:val="14"/>
  </w:num>
  <w:num w:numId="30">
    <w:abstractNumId w:val="6"/>
  </w:num>
  <w:num w:numId="31">
    <w:abstractNumId w:val="26"/>
  </w:num>
  <w:num w:numId="32">
    <w:abstractNumId w:val="1"/>
  </w:num>
  <w:num w:numId="33">
    <w:abstractNumId w:val="3"/>
  </w:num>
  <w:num w:numId="34">
    <w:abstractNumId w:val="33"/>
  </w:num>
  <w:num w:numId="35">
    <w:abstractNumId w:val="25"/>
  </w:num>
  <w:num w:numId="36">
    <w:abstractNumId w:val="29"/>
  </w:num>
  <w:num w:numId="37">
    <w:abstractNumId w:val="32"/>
  </w:num>
  <w:num w:numId="38">
    <w:abstractNumId w:val="2"/>
  </w:num>
  <w:num w:numId="39">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ED"/>
    <w:rsid w:val="00001270"/>
    <w:rsid w:val="00003D43"/>
    <w:rsid w:val="0000576E"/>
    <w:rsid w:val="00014CF2"/>
    <w:rsid w:val="00024BF9"/>
    <w:rsid w:val="00025149"/>
    <w:rsid w:val="00025C1E"/>
    <w:rsid w:val="00026866"/>
    <w:rsid w:val="00037F65"/>
    <w:rsid w:val="00042708"/>
    <w:rsid w:val="00047AE6"/>
    <w:rsid w:val="00052998"/>
    <w:rsid w:val="00052CEC"/>
    <w:rsid w:val="00060069"/>
    <w:rsid w:val="000630FB"/>
    <w:rsid w:val="00065B7E"/>
    <w:rsid w:val="00070CDF"/>
    <w:rsid w:val="0008357C"/>
    <w:rsid w:val="000923ED"/>
    <w:rsid w:val="00092823"/>
    <w:rsid w:val="000941F4"/>
    <w:rsid w:val="00097BE1"/>
    <w:rsid w:val="000A3015"/>
    <w:rsid w:val="000A34D0"/>
    <w:rsid w:val="000A531E"/>
    <w:rsid w:val="000B23C2"/>
    <w:rsid w:val="000B521F"/>
    <w:rsid w:val="000B7651"/>
    <w:rsid w:val="000C1378"/>
    <w:rsid w:val="000D1D07"/>
    <w:rsid w:val="000D658E"/>
    <w:rsid w:val="000D77AA"/>
    <w:rsid w:val="000E17CE"/>
    <w:rsid w:val="000E2DFF"/>
    <w:rsid w:val="000E4C4B"/>
    <w:rsid w:val="000F422F"/>
    <w:rsid w:val="001001AF"/>
    <w:rsid w:val="0010560F"/>
    <w:rsid w:val="0010567C"/>
    <w:rsid w:val="00112297"/>
    <w:rsid w:val="001217A4"/>
    <w:rsid w:val="00121EEE"/>
    <w:rsid w:val="001240F4"/>
    <w:rsid w:val="00133351"/>
    <w:rsid w:val="00141EDE"/>
    <w:rsid w:val="0014530D"/>
    <w:rsid w:val="0015067D"/>
    <w:rsid w:val="001618F1"/>
    <w:rsid w:val="00164C08"/>
    <w:rsid w:val="0016505D"/>
    <w:rsid w:val="00170752"/>
    <w:rsid w:val="001733AC"/>
    <w:rsid w:val="001966A7"/>
    <w:rsid w:val="001B4324"/>
    <w:rsid w:val="001C00D7"/>
    <w:rsid w:val="001C466C"/>
    <w:rsid w:val="001D6AA9"/>
    <w:rsid w:val="001D7A81"/>
    <w:rsid w:val="001D7B7B"/>
    <w:rsid w:val="001E3D30"/>
    <w:rsid w:val="001E5658"/>
    <w:rsid w:val="001E620C"/>
    <w:rsid w:val="001F6B03"/>
    <w:rsid w:val="002003ED"/>
    <w:rsid w:val="002051CE"/>
    <w:rsid w:val="00205DB1"/>
    <w:rsid w:val="0021423B"/>
    <w:rsid w:val="002176E6"/>
    <w:rsid w:val="00222DFA"/>
    <w:rsid w:val="00222EE7"/>
    <w:rsid w:val="0022515F"/>
    <w:rsid w:val="00225A16"/>
    <w:rsid w:val="00227D3B"/>
    <w:rsid w:val="0023030A"/>
    <w:rsid w:val="00234936"/>
    <w:rsid w:val="002533E8"/>
    <w:rsid w:val="00260BCC"/>
    <w:rsid w:val="00267C40"/>
    <w:rsid w:val="00276DB7"/>
    <w:rsid w:val="0028038A"/>
    <w:rsid w:val="002829D3"/>
    <w:rsid w:val="00282DB7"/>
    <w:rsid w:val="00283E26"/>
    <w:rsid w:val="002900EB"/>
    <w:rsid w:val="00290BD2"/>
    <w:rsid w:val="002945B0"/>
    <w:rsid w:val="00295517"/>
    <w:rsid w:val="00295E21"/>
    <w:rsid w:val="002A1BCF"/>
    <w:rsid w:val="002A4794"/>
    <w:rsid w:val="002A5089"/>
    <w:rsid w:val="002A75C0"/>
    <w:rsid w:val="002B75B0"/>
    <w:rsid w:val="002D3909"/>
    <w:rsid w:val="002E4836"/>
    <w:rsid w:val="002E6A0A"/>
    <w:rsid w:val="002F72F9"/>
    <w:rsid w:val="00302AC7"/>
    <w:rsid w:val="0030520B"/>
    <w:rsid w:val="0030581C"/>
    <w:rsid w:val="00306166"/>
    <w:rsid w:val="00311FF7"/>
    <w:rsid w:val="00314789"/>
    <w:rsid w:val="00323A24"/>
    <w:rsid w:val="0032512A"/>
    <w:rsid w:val="00325341"/>
    <w:rsid w:val="00325C8B"/>
    <w:rsid w:val="00331161"/>
    <w:rsid w:val="00334A25"/>
    <w:rsid w:val="003408DA"/>
    <w:rsid w:val="0035510B"/>
    <w:rsid w:val="00355174"/>
    <w:rsid w:val="0035635F"/>
    <w:rsid w:val="00362F96"/>
    <w:rsid w:val="00364AE6"/>
    <w:rsid w:val="00366874"/>
    <w:rsid w:val="003701F1"/>
    <w:rsid w:val="00382CCB"/>
    <w:rsid w:val="003854B7"/>
    <w:rsid w:val="00386C92"/>
    <w:rsid w:val="003874F8"/>
    <w:rsid w:val="00390843"/>
    <w:rsid w:val="00390C72"/>
    <w:rsid w:val="003917FC"/>
    <w:rsid w:val="0039688C"/>
    <w:rsid w:val="0039693C"/>
    <w:rsid w:val="00397C23"/>
    <w:rsid w:val="003A2848"/>
    <w:rsid w:val="003A2B68"/>
    <w:rsid w:val="003C11CC"/>
    <w:rsid w:val="003C6142"/>
    <w:rsid w:val="003C74E1"/>
    <w:rsid w:val="003D0F19"/>
    <w:rsid w:val="003D1061"/>
    <w:rsid w:val="003D3E3A"/>
    <w:rsid w:val="003D5657"/>
    <w:rsid w:val="003D617A"/>
    <w:rsid w:val="003D634E"/>
    <w:rsid w:val="003D7B27"/>
    <w:rsid w:val="003E43E1"/>
    <w:rsid w:val="003F1204"/>
    <w:rsid w:val="003F2395"/>
    <w:rsid w:val="003F3F14"/>
    <w:rsid w:val="003F7229"/>
    <w:rsid w:val="00401979"/>
    <w:rsid w:val="004045FE"/>
    <w:rsid w:val="004059DF"/>
    <w:rsid w:val="00413943"/>
    <w:rsid w:val="00417938"/>
    <w:rsid w:val="00423184"/>
    <w:rsid w:val="0042514B"/>
    <w:rsid w:val="004267EE"/>
    <w:rsid w:val="00434B5C"/>
    <w:rsid w:val="00442E77"/>
    <w:rsid w:val="004512A6"/>
    <w:rsid w:val="0045374B"/>
    <w:rsid w:val="00455B3F"/>
    <w:rsid w:val="00456D48"/>
    <w:rsid w:val="00456F5B"/>
    <w:rsid w:val="00460D7B"/>
    <w:rsid w:val="00461044"/>
    <w:rsid w:val="00461930"/>
    <w:rsid w:val="00463832"/>
    <w:rsid w:val="00475BE3"/>
    <w:rsid w:val="004858E1"/>
    <w:rsid w:val="004871FF"/>
    <w:rsid w:val="0049102F"/>
    <w:rsid w:val="0049249B"/>
    <w:rsid w:val="0049249F"/>
    <w:rsid w:val="00494025"/>
    <w:rsid w:val="0049687A"/>
    <w:rsid w:val="004968D1"/>
    <w:rsid w:val="004A151D"/>
    <w:rsid w:val="004A21AD"/>
    <w:rsid w:val="004A269C"/>
    <w:rsid w:val="004A33DC"/>
    <w:rsid w:val="004B06B8"/>
    <w:rsid w:val="004C459D"/>
    <w:rsid w:val="004C7CAF"/>
    <w:rsid w:val="004D008D"/>
    <w:rsid w:val="004E089A"/>
    <w:rsid w:val="004E7CDA"/>
    <w:rsid w:val="004F44D9"/>
    <w:rsid w:val="004F6729"/>
    <w:rsid w:val="00500A76"/>
    <w:rsid w:val="0050187A"/>
    <w:rsid w:val="005209FE"/>
    <w:rsid w:val="00520D71"/>
    <w:rsid w:val="005232BA"/>
    <w:rsid w:val="005246CC"/>
    <w:rsid w:val="0053476B"/>
    <w:rsid w:val="005438D1"/>
    <w:rsid w:val="00550C64"/>
    <w:rsid w:val="00553DF2"/>
    <w:rsid w:val="0055491A"/>
    <w:rsid w:val="00562387"/>
    <w:rsid w:val="005629A2"/>
    <w:rsid w:val="00564B44"/>
    <w:rsid w:val="0057446B"/>
    <w:rsid w:val="00575E55"/>
    <w:rsid w:val="00581067"/>
    <w:rsid w:val="005825B8"/>
    <w:rsid w:val="00587835"/>
    <w:rsid w:val="005916FE"/>
    <w:rsid w:val="0059592C"/>
    <w:rsid w:val="005A390D"/>
    <w:rsid w:val="005A6996"/>
    <w:rsid w:val="005B47C4"/>
    <w:rsid w:val="005B60E3"/>
    <w:rsid w:val="005C0B03"/>
    <w:rsid w:val="005C64B9"/>
    <w:rsid w:val="005D48D7"/>
    <w:rsid w:val="005D791A"/>
    <w:rsid w:val="005E0BB4"/>
    <w:rsid w:val="005E1003"/>
    <w:rsid w:val="005E2366"/>
    <w:rsid w:val="005F7367"/>
    <w:rsid w:val="00600098"/>
    <w:rsid w:val="00604721"/>
    <w:rsid w:val="00611C6C"/>
    <w:rsid w:val="0061290F"/>
    <w:rsid w:val="00620EAE"/>
    <w:rsid w:val="00625EB7"/>
    <w:rsid w:val="0062698E"/>
    <w:rsid w:val="006317CE"/>
    <w:rsid w:val="00634B44"/>
    <w:rsid w:val="00635959"/>
    <w:rsid w:val="00636527"/>
    <w:rsid w:val="00643150"/>
    <w:rsid w:val="0065116F"/>
    <w:rsid w:val="00653575"/>
    <w:rsid w:val="00654674"/>
    <w:rsid w:val="00654BC3"/>
    <w:rsid w:val="00655227"/>
    <w:rsid w:val="00670937"/>
    <w:rsid w:val="00673622"/>
    <w:rsid w:val="00677409"/>
    <w:rsid w:val="0068435A"/>
    <w:rsid w:val="006848F0"/>
    <w:rsid w:val="00687FEA"/>
    <w:rsid w:val="00694336"/>
    <w:rsid w:val="0069730A"/>
    <w:rsid w:val="006A69B0"/>
    <w:rsid w:val="006B26D3"/>
    <w:rsid w:val="006B384A"/>
    <w:rsid w:val="006B4C1E"/>
    <w:rsid w:val="006B63E4"/>
    <w:rsid w:val="006B7111"/>
    <w:rsid w:val="006C3EF6"/>
    <w:rsid w:val="006C4E75"/>
    <w:rsid w:val="006D3040"/>
    <w:rsid w:val="006D4238"/>
    <w:rsid w:val="006D53A4"/>
    <w:rsid w:val="006D573E"/>
    <w:rsid w:val="006D59C7"/>
    <w:rsid w:val="006E3771"/>
    <w:rsid w:val="006E4247"/>
    <w:rsid w:val="006F2CCD"/>
    <w:rsid w:val="006F36EA"/>
    <w:rsid w:val="006F7C65"/>
    <w:rsid w:val="00703966"/>
    <w:rsid w:val="007057E7"/>
    <w:rsid w:val="00705BE4"/>
    <w:rsid w:val="00710760"/>
    <w:rsid w:val="00710CD0"/>
    <w:rsid w:val="00711FF9"/>
    <w:rsid w:val="00712320"/>
    <w:rsid w:val="007124DB"/>
    <w:rsid w:val="0071592E"/>
    <w:rsid w:val="0071693C"/>
    <w:rsid w:val="00720441"/>
    <w:rsid w:val="00720A61"/>
    <w:rsid w:val="0072105A"/>
    <w:rsid w:val="00721DFC"/>
    <w:rsid w:val="00723171"/>
    <w:rsid w:val="007267ED"/>
    <w:rsid w:val="00733605"/>
    <w:rsid w:val="00737EB9"/>
    <w:rsid w:val="0074114D"/>
    <w:rsid w:val="007530AD"/>
    <w:rsid w:val="00753DD3"/>
    <w:rsid w:val="007568E7"/>
    <w:rsid w:val="007609E2"/>
    <w:rsid w:val="00773A36"/>
    <w:rsid w:val="00775C6A"/>
    <w:rsid w:val="00782A99"/>
    <w:rsid w:val="00796298"/>
    <w:rsid w:val="00796CF8"/>
    <w:rsid w:val="007B3802"/>
    <w:rsid w:val="007B3C45"/>
    <w:rsid w:val="007B7E5F"/>
    <w:rsid w:val="007C2BE0"/>
    <w:rsid w:val="007C30F2"/>
    <w:rsid w:val="007D2A76"/>
    <w:rsid w:val="007D30D3"/>
    <w:rsid w:val="007D69F2"/>
    <w:rsid w:val="007E18C7"/>
    <w:rsid w:val="007E22E1"/>
    <w:rsid w:val="007E663E"/>
    <w:rsid w:val="007F2B31"/>
    <w:rsid w:val="007F40F6"/>
    <w:rsid w:val="007F53F7"/>
    <w:rsid w:val="007F6FC1"/>
    <w:rsid w:val="008011E2"/>
    <w:rsid w:val="008014A3"/>
    <w:rsid w:val="008018FD"/>
    <w:rsid w:val="00802BD0"/>
    <w:rsid w:val="00805BB9"/>
    <w:rsid w:val="008121FC"/>
    <w:rsid w:val="0081681A"/>
    <w:rsid w:val="008173BC"/>
    <w:rsid w:val="00824409"/>
    <w:rsid w:val="00826955"/>
    <w:rsid w:val="00830EDD"/>
    <w:rsid w:val="00832146"/>
    <w:rsid w:val="00835881"/>
    <w:rsid w:val="008362D0"/>
    <w:rsid w:val="00837E9F"/>
    <w:rsid w:val="00842B07"/>
    <w:rsid w:val="00845560"/>
    <w:rsid w:val="00845CF7"/>
    <w:rsid w:val="008505E2"/>
    <w:rsid w:val="00852BDD"/>
    <w:rsid w:val="008603ED"/>
    <w:rsid w:val="00860DEB"/>
    <w:rsid w:val="00865EEB"/>
    <w:rsid w:val="00866743"/>
    <w:rsid w:val="008679EB"/>
    <w:rsid w:val="008750FB"/>
    <w:rsid w:val="0088112C"/>
    <w:rsid w:val="00896588"/>
    <w:rsid w:val="00897E3D"/>
    <w:rsid w:val="008A3CBF"/>
    <w:rsid w:val="008A5FD6"/>
    <w:rsid w:val="008A6C8F"/>
    <w:rsid w:val="008A701F"/>
    <w:rsid w:val="008B587F"/>
    <w:rsid w:val="008B59A7"/>
    <w:rsid w:val="008B5C8F"/>
    <w:rsid w:val="008C39E9"/>
    <w:rsid w:val="008E7CED"/>
    <w:rsid w:val="008F1811"/>
    <w:rsid w:val="008F65BC"/>
    <w:rsid w:val="009063E5"/>
    <w:rsid w:val="0090771C"/>
    <w:rsid w:val="0091136F"/>
    <w:rsid w:val="00912B72"/>
    <w:rsid w:val="00913A85"/>
    <w:rsid w:val="00915302"/>
    <w:rsid w:val="009168FA"/>
    <w:rsid w:val="00922AA1"/>
    <w:rsid w:val="00923440"/>
    <w:rsid w:val="009243DF"/>
    <w:rsid w:val="00925CFC"/>
    <w:rsid w:val="00927E30"/>
    <w:rsid w:val="009315CD"/>
    <w:rsid w:val="009409A2"/>
    <w:rsid w:val="00944382"/>
    <w:rsid w:val="00944A85"/>
    <w:rsid w:val="00946658"/>
    <w:rsid w:val="00954DBB"/>
    <w:rsid w:val="00957C50"/>
    <w:rsid w:val="00964D03"/>
    <w:rsid w:val="00965839"/>
    <w:rsid w:val="009667A8"/>
    <w:rsid w:val="00966DB4"/>
    <w:rsid w:val="009737A6"/>
    <w:rsid w:val="00975135"/>
    <w:rsid w:val="00983B2F"/>
    <w:rsid w:val="00984EF2"/>
    <w:rsid w:val="009A5E65"/>
    <w:rsid w:val="009A6928"/>
    <w:rsid w:val="009B0EEF"/>
    <w:rsid w:val="009B1FA8"/>
    <w:rsid w:val="009B57BD"/>
    <w:rsid w:val="009C22DE"/>
    <w:rsid w:val="009C3E99"/>
    <w:rsid w:val="009C7985"/>
    <w:rsid w:val="009D5FCA"/>
    <w:rsid w:val="009D6DEF"/>
    <w:rsid w:val="009E5F33"/>
    <w:rsid w:val="009E6659"/>
    <w:rsid w:val="009E6C6A"/>
    <w:rsid w:val="009F03A6"/>
    <w:rsid w:val="009F0ED8"/>
    <w:rsid w:val="009F0F27"/>
    <w:rsid w:val="009F3609"/>
    <w:rsid w:val="00A01798"/>
    <w:rsid w:val="00A10D46"/>
    <w:rsid w:val="00A14200"/>
    <w:rsid w:val="00A148D1"/>
    <w:rsid w:val="00A26A09"/>
    <w:rsid w:val="00A26F9C"/>
    <w:rsid w:val="00A2735F"/>
    <w:rsid w:val="00A36A1E"/>
    <w:rsid w:val="00A423D7"/>
    <w:rsid w:val="00A50027"/>
    <w:rsid w:val="00A506E5"/>
    <w:rsid w:val="00A54CCD"/>
    <w:rsid w:val="00A56120"/>
    <w:rsid w:val="00A65435"/>
    <w:rsid w:val="00A74842"/>
    <w:rsid w:val="00A75439"/>
    <w:rsid w:val="00A77CE0"/>
    <w:rsid w:val="00A77E41"/>
    <w:rsid w:val="00A86014"/>
    <w:rsid w:val="00A86A18"/>
    <w:rsid w:val="00A901A6"/>
    <w:rsid w:val="00A904D1"/>
    <w:rsid w:val="00A90AF7"/>
    <w:rsid w:val="00A910DC"/>
    <w:rsid w:val="00A92284"/>
    <w:rsid w:val="00A95608"/>
    <w:rsid w:val="00A96038"/>
    <w:rsid w:val="00AA33F3"/>
    <w:rsid w:val="00AB06BB"/>
    <w:rsid w:val="00AB4E5D"/>
    <w:rsid w:val="00AC29E6"/>
    <w:rsid w:val="00AC5DF7"/>
    <w:rsid w:val="00AC5F5C"/>
    <w:rsid w:val="00AD0672"/>
    <w:rsid w:val="00AD1089"/>
    <w:rsid w:val="00AD1979"/>
    <w:rsid w:val="00AD2013"/>
    <w:rsid w:val="00AD4710"/>
    <w:rsid w:val="00AE2473"/>
    <w:rsid w:val="00AE6785"/>
    <w:rsid w:val="00AF49A1"/>
    <w:rsid w:val="00AF5196"/>
    <w:rsid w:val="00AF6679"/>
    <w:rsid w:val="00AF690C"/>
    <w:rsid w:val="00AF6E5C"/>
    <w:rsid w:val="00B024BB"/>
    <w:rsid w:val="00B03030"/>
    <w:rsid w:val="00B04674"/>
    <w:rsid w:val="00B06B6D"/>
    <w:rsid w:val="00B11260"/>
    <w:rsid w:val="00B23EC1"/>
    <w:rsid w:val="00B26F63"/>
    <w:rsid w:val="00B27AC6"/>
    <w:rsid w:val="00B3099E"/>
    <w:rsid w:val="00B34587"/>
    <w:rsid w:val="00B37E84"/>
    <w:rsid w:val="00B41731"/>
    <w:rsid w:val="00B44102"/>
    <w:rsid w:val="00B513C1"/>
    <w:rsid w:val="00B52487"/>
    <w:rsid w:val="00B60349"/>
    <w:rsid w:val="00B61966"/>
    <w:rsid w:val="00B6212D"/>
    <w:rsid w:val="00B63368"/>
    <w:rsid w:val="00B710D1"/>
    <w:rsid w:val="00B77545"/>
    <w:rsid w:val="00B81E7A"/>
    <w:rsid w:val="00B8641A"/>
    <w:rsid w:val="00BA473C"/>
    <w:rsid w:val="00BA6762"/>
    <w:rsid w:val="00BC0CE5"/>
    <w:rsid w:val="00BD49A9"/>
    <w:rsid w:val="00BD5FC8"/>
    <w:rsid w:val="00BE22ED"/>
    <w:rsid w:val="00BE5503"/>
    <w:rsid w:val="00BE7434"/>
    <w:rsid w:val="00BF1FBD"/>
    <w:rsid w:val="00BF2A48"/>
    <w:rsid w:val="00BF50A1"/>
    <w:rsid w:val="00BF6D60"/>
    <w:rsid w:val="00BF75F1"/>
    <w:rsid w:val="00C03C59"/>
    <w:rsid w:val="00C108EE"/>
    <w:rsid w:val="00C1449A"/>
    <w:rsid w:val="00C166FF"/>
    <w:rsid w:val="00C16F38"/>
    <w:rsid w:val="00C205BB"/>
    <w:rsid w:val="00C22104"/>
    <w:rsid w:val="00C23563"/>
    <w:rsid w:val="00C23FAF"/>
    <w:rsid w:val="00C249A6"/>
    <w:rsid w:val="00C32CCE"/>
    <w:rsid w:val="00C33C78"/>
    <w:rsid w:val="00C41EEE"/>
    <w:rsid w:val="00C42C78"/>
    <w:rsid w:val="00C42CFB"/>
    <w:rsid w:val="00C46190"/>
    <w:rsid w:val="00C46D09"/>
    <w:rsid w:val="00C47F14"/>
    <w:rsid w:val="00C500B7"/>
    <w:rsid w:val="00C50C61"/>
    <w:rsid w:val="00C54E79"/>
    <w:rsid w:val="00C56059"/>
    <w:rsid w:val="00C60890"/>
    <w:rsid w:val="00C60FC6"/>
    <w:rsid w:val="00C61CCD"/>
    <w:rsid w:val="00C64460"/>
    <w:rsid w:val="00C701A8"/>
    <w:rsid w:val="00C7292E"/>
    <w:rsid w:val="00C764F7"/>
    <w:rsid w:val="00C81D94"/>
    <w:rsid w:val="00C935F9"/>
    <w:rsid w:val="00C94ECC"/>
    <w:rsid w:val="00CA71D0"/>
    <w:rsid w:val="00CA71FB"/>
    <w:rsid w:val="00CB2D2D"/>
    <w:rsid w:val="00CB5E61"/>
    <w:rsid w:val="00CD06C7"/>
    <w:rsid w:val="00CD5448"/>
    <w:rsid w:val="00CE6DEA"/>
    <w:rsid w:val="00CF1CD1"/>
    <w:rsid w:val="00CF4BB7"/>
    <w:rsid w:val="00D013FA"/>
    <w:rsid w:val="00D14ADA"/>
    <w:rsid w:val="00D22E94"/>
    <w:rsid w:val="00D24E76"/>
    <w:rsid w:val="00D3169C"/>
    <w:rsid w:val="00D33CF7"/>
    <w:rsid w:val="00D53EF9"/>
    <w:rsid w:val="00D554B3"/>
    <w:rsid w:val="00D56AD1"/>
    <w:rsid w:val="00D56CFB"/>
    <w:rsid w:val="00D65D9E"/>
    <w:rsid w:val="00D70D07"/>
    <w:rsid w:val="00D75570"/>
    <w:rsid w:val="00D803DC"/>
    <w:rsid w:val="00D86EE2"/>
    <w:rsid w:val="00D87D1A"/>
    <w:rsid w:val="00DB1900"/>
    <w:rsid w:val="00DB2401"/>
    <w:rsid w:val="00DB330C"/>
    <w:rsid w:val="00DB5770"/>
    <w:rsid w:val="00DB58C0"/>
    <w:rsid w:val="00DC095C"/>
    <w:rsid w:val="00DC191F"/>
    <w:rsid w:val="00DC2480"/>
    <w:rsid w:val="00DC4C6A"/>
    <w:rsid w:val="00DC68AB"/>
    <w:rsid w:val="00DC7F40"/>
    <w:rsid w:val="00DD3632"/>
    <w:rsid w:val="00DD4486"/>
    <w:rsid w:val="00DD5AF1"/>
    <w:rsid w:val="00DD739D"/>
    <w:rsid w:val="00DD744A"/>
    <w:rsid w:val="00DE1B88"/>
    <w:rsid w:val="00DF11D4"/>
    <w:rsid w:val="00DF1208"/>
    <w:rsid w:val="00DF1BA6"/>
    <w:rsid w:val="00DF5134"/>
    <w:rsid w:val="00DF58C8"/>
    <w:rsid w:val="00DF6A82"/>
    <w:rsid w:val="00E033F0"/>
    <w:rsid w:val="00E03E65"/>
    <w:rsid w:val="00E12FD4"/>
    <w:rsid w:val="00E2159B"/>
    <w:rsid w:val="00E24533"/>
    <w:rsid w:val="00E249CB"/>
    <w:rsid w:val="00E312D7"/>
    <w:rsid w:val="00E35878"/>
    <w:rsid w:val="00E371E0"/>
    <w:rsid w:val="00E42486"/>
    <w:rsid w:val="00E6468A"/>
    <w:rsid w:val="00E735B7"/>
    <w:rsid w:val="00E81D95"/>
    <w:rsid w:val="00E87C3E"/>
    <w:rsid w:val="00E90BCF"/>
    <w:rsid w:val="00E95401"/>
    <w:rsid w:val="00E97FD8"/>
    <w:rsid w:val="00EA044F"/>
    <w:rsid w:val="00EA0B3A"/>
    <w:rsid w:val="00EA319B"/>
    <w:rsid w:val="00EA7EAB"/>
    <w:rsid w:val="00EB3871"/>
    <w:rsid w:val="00EC0182"/>
    <w:rsid w:val="00EC24A6"/>
    <w:rsid w:val="00EC568D"/>
    <w:rsid w:val="00ED143E"/>
    <w:rsid w:val="00ED18F5"/>
    <w:rsid w:val="00ED43AC"/>
    <w:rsid w:val="00EE102A"/>
    <w:rsid w:val="00EE3444"/>
    <w:rsid w:val="00EF1BF2"/>
    <w:rsid w:val="00EF3068"/>
    <w:rsid w:val="00EF4FF7"/>
    <w:rsid w:val="00EF76CF"/>
    <w:rsid w:val="00EF7C04"/>
    <w:rsid w:val="00F00717"/>
    <w:rsid w:val="00F00B24"/>
    <w:rsid w:val="00F03F15"/>
    <w:rsid w:val="00F040FE"/>
    <w:rsid w:val="00F04CCC"/>
    <w:rsid w:val="00F15217"/>
    <w:rsid w:val="00F17449"/>
    <w:rsid w:val="00F222C0"/>
    <w:rsid w:val="00F22436"/>
    <w:rsid w:val="00F33E38"/>
    <w:rsid w:val="00F34924"/>
    <w:rsid w:val="00F421BF"/>
    <w:rsid w:val="00F43639"/>
    <w:rsid w:val="00F44B4D"/>
    <w:rsid w:val="00F5430C"/>
    <w:rsid w:val="00F55CD9"/>
    <w:rsid w:val="00F57FCF"/>
    <w:rsid w:val="00F66460"/>
    <w:rsid w:val="00F66F54"/>
    <w:rsid w:val="00F67042"/>
    <w:rsid w:val="00F75191"/>
    <w:rsid w:val="00F80941"/>
    <w:rsid w:val="00F86C9D"/>
    <w:rsid w:val="00FA2BA7"/>
    <w:rsid w:val="00FA47B8"/>
    <w:rsid w:val="00FA554E"/>
    <w:rsid w:val="00FB3849"/>
    <w:rsid w:val="00FB45A9"/>
    <w:rsid w:val="00FB53F3"/>
    <w:rsid w:val="00FC0963"/>
    <w:rsid w:val="00FC3FDF"/>
    <w:rsid w:val="00FC7DE6"/>
    <w:rsid w:val="00FD0153"/>
    <w:rsid w:val="00FD13DD"/>
    <w:rsid w:val="00FD2995"/>
    <w:rsid w:val="00FD66D3"/>
    <w:rsid w:val="00FD7A78"/>
    <w:rsid w:val="00FE0152"/>
    <w:rsid w:val="00FE286D"/>
    <w:rsid w:val="00FE3004"/>
    <w:rsid w:val="00FE6223"/>
    <w:rsid w:val="00FE6B6D"/>
    <w:rsid w:val="00FF20DD"/>
    <w:rsid w:val="00FF5A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F6723"/>
  <w15:docId w15:val="{6E5FD1D5-64D3-4D80-8BA2-A7004EA5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F1BF2"/>
    <w:pPr>
      <w:tabs>
        <w:tab w:val="center" w:pos="4680"/>
        <w:tab w:val="right" w:pos="9360"/>
      </w:tabs>
      <w:spacing w:after="0" w:line="240" w:lineRule="auto"/>
    </w:pPr>
    <w:rPr>
      <w:rFonts w:eastAsiaTheme="minorEastAsia"/>
      <w:lang w:eastAsia="pl-PL"/>
    </w:rPr>
  </w:style>
  <w:style w:type="character" w:customStyle="1" w:styleId="NagwekZnak">
    <w:name w:val="Nagłówek Znak"/>
    <w:basedOn w:val="Domylnaczcionkaakapitu"/>
    <w:link w:val="Nagwek"/>
    <w:uiPriority w:val="99"/>
    <w:rsid w:val="00EF1BF2"/>
    <w:rPr>
      <w:rFonts w:eastAsiaTheme="minorEastAsia"/>
      <w:lang w:eastAsia="pl-PL"/>
    </w:rPr>
  </w:style>
  <w:style w:type="paragraph" w:styleId="Tekstdymka">
    <w:name w:val="Balloon Text"/>
    <w:basedOn w:val="Normalny"/>
    <w:link w:val="TekstdymkaZnak"/>
    <w:uiPriority w:val="99"/>
    <w:semiHidden/>
    <w:unhideWhenUsed/>
    <w:rsid w:val="00EF1B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F1BF2"/>
    <w:rPr>
      <w:rFonts w:ascii="Tahoma" w:hAnsi="Tahoma" w:cs="Tahoma"/>
      <w:sz w:val="16"/>
      <w:szCs w:val="16"/>
    </w:rPr>
  </w:style>
  <w:style w:type="paragraph" w:styleId="Stopka">
    <w:name w:val="footer"/>
    <w:basedOn w:val="Normalny"/>
    <w:link w:val="StopkaZnak"/>
    <w:uiPriority w:val="99"/>
    <w:unhideWhenUsed/>
    <w:rsid w:val="00EF1B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1BF2"/>
  </w:style>
  <w:style w:type="table" w:styleId="Tabela-Siatka">
    <w:name w:val="Table Grid"/>
    <w:basedOn w:val="Standardowy"/>
    <w:uiPriority w:val="59"/>
    <w:rsid w:val="00EF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Numerowanie,List Paragraph,Kolorowa lista — akcent 11"/>
    <w:basedOn w:val="Normalny"/>
    <w:link w:val="AkapitzlistZnak"/>
    <w:uiPriority w:val="34"/>
    <w:qFormat/>
    <w:rsid w:val="009A5E65"/>
    <w:pPr>
      <w:ind w:left="720"/>
      <w:contextualSpacing/>
    </w:pPr>
  </w:style>
  <w:style w:type="paragraph" w:styleId="Tekstprzypisukocowego">
    <w:name w:val="endnote text"/>
    <w:basedOn w:val="Normalny"/>
    <w:link w:val="TekstprzypisukocowegoZnak"/>
    <w:uiPriority w:val="99"/>
    <w:semiHidden/>
    <w:unhideWhenUsed/>
    <w:rsid w:val="00276DB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6DB7"/>
    <w:rPr>
      <w:sz w:val="20"/>
      <w:szCs w:val="20"/>
    </w:rPr>
  </w:style>
  <w:style w:type="character" w:styleId="Odwoanieprzypisukocowego">
    <w:name w:val="endnote reference"/>
    <w:basedOn w:val="Domylnaczcionkaakapitu"/>
    <w:uiPriority w:val="99"/>
    <w:semiHidden/>
    <w:unhideWhenUsed/>
    <w:rsid w:val="00276DB7"/>
    <w:rPr>
      <w:vertAlign w:val="superscript"/>
    </w:rPr>
  </w:style>
  <w:style w:type="paragraph" w:styleId="Tekstprzypisudolnego">
    <w:name w:val="footnote text"/>
    <w:basedOn w:val="Normalny"/>
    <w:link w:val="TekstprzypisudolnegoZnak"/>
    <w:uiPriority w:val="99"/>
    <w:semiHidden/>
    <w:unhideWhenUsed/>
    <w:rsid w:val="00F5430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430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F5430C"/>
    <w:rPr>
      <w:vertAlign w:val="superscript"/>
    </w:rPr>
  </w:style>
  <w:style w:type="character" w:styleId="Hipercze">
    <w:name w:val="Hyperlink"/>
    <w:basedOn w:val="Domylnaczcionkaakapitu"/>
    <w:uiPriority w:val="99"/>
    <w:unhideWhenUsed/>
    <w:rsid w:val="00295E21"/>
    <w:rPr>
      <w:color w:val="0000FF" w:themeColor="hyperlink"/>
      <w:u w:val="single"/>
    </w:rPr>
  </w:style>
  <w:style w:type="paragraph" w:customStyle="1" w:styleId="Default">
    <w:name w:val="Default"/>
    <w:rsid w:val="00F55CD9"/>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1E620C"/>
    <w:rPr>
      <w:sz w:val="16"/>
      <w:szCs w:val="16"/>
    </w:rPr>
  </w:style>
  <w:style w:type="paragraph" w:styleId="Tekstkomentarza">
    <w:name w:val="annotation text"/>
    <w:basedOn w:val="Normalny"/>
    <w:link w:val="TekstkomentarzaZnak"/>
    <w:uiPriority w:val="99"/>
    <w:semiHidden/>
    <w:unhideWhenUsed/>
    <w:rsid w:val="001E62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620C"/>
    <w:rPr>
      <w:sz w:val="20"/>
      <w:szCs w:val="20"/>
    </w:rPr>
  </w:style>
  <w:style w:type="paragraph" w:styleId="Tematkomentarza">
    <w:name w:val="annotation subject"/>
    <w:basedOn w:val="Tekstkomentarza"/>
    <w:next w:val="Tekstkomentarza"/>
    <w:link w:val="TematkomentarzaZnak"/>
    <w:uiPriority w:val="99"/>
    <w:semiHidden/>
    <w:unhideWhenUsed/>
    <w:rsid w:val="001E620C"/>
    <w:rPr>
      <w:b/>
      <w:bCs/>
    </w:rPr>
  </w:style>
  <w:style w:type="character" w:customStyle="1" w:styleId="TematkomentarzaZnak">
    <w:name w:val="Temat komentarza Znak"/>
    <w:basedOn w:val="TekstkomentarzaZnak"/>
    <w:link w:val="Tematkomentarza"/>
    <w:uiPriority w:val="99"/>
    <w:semiHidden/>
    <w:rsid w:val="001E620C"/>
    <w:rPr>
      <w:b/>
      <w:bCs/>
      <w:sz w:val="20"/>
      <w:szCs w:val="20"/>
    </w:rPr>
  </w:style>
  <w:style w:type="character" w:styleId="Nierozpoznanawzmianka">
    <w:name w:val="Unresolved Mention"/>
    <w:basedOn w:val="Domylnaczcionkaakapitu"/>
    <w:uiPriority w:val="99"/>
    <w:semiHidden/>
    <w:unhideWhenUsed/>
    <w:rsid w:val="00382CCB"/>
    <w:rPr>
      <w:color w:val="605E5C"/>
      <w:shd w:val="clear" w:color="auto" w:fill="E1DFDD"/>
    </w:rPr>
  </w:style>
  <w:style w:type="character" w:customStyle="1" w:styleId="AkapitzlistZnak">
    <w:name w:val="Akapit z listą Znak"/>
    <w:aliases w:val="Akapit z listą BS Znak,Numerowanie Znak,List Paragraph Znak,Kolorowa lista — akcent 11 Znak"/>
    <w:link w:val="Akapitzlist"/>
    <w:uiPriority w:val="34"/>
    <w:rsid w:val="00AD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06742">
      <w:bodyDiv w:val="1"/>
      <w:marLeft w:val="0"/>
      <w:marRight w:val="0"/>
      <w:marTop w:val="0"/>
      <w:marBottom w:val="0"/>
      <w:divBdr>
        <w:top w:val="none" w:sz="0" w:space="0" w:color="auto"/>
        <w:left w:val="none" w:sz="0" w:space="0" w:color="auto"/>
        <w:bottom w:val="none" w:sz="0" w:space="0" w:color="auto"/>
        <w:right w:val="none" w:sz="0" w:space="0" w:color="auto"/>
      </w:divBdr>
    </w:div>
    <w:div w:id="682436227">
      <w:bodyDiv w:val="1"/>
      <w:marLeft w:val="0"/>
      <w:marRight w:val="0"/>
      <w:marTop w:val="0"/>
      <w:marBottom w:val="0"/>
      <w:divBdr>
        <w:top w:val="none" w:sz="0" w:space="0" w:color="auto"/>
        <w:left w:val="none" w:sz="0" w:space="0" w:color="auto"/>
        <w:bottom w:val="none" w:sz="0" w:space="0" w:color="auto"/>
        <w:right w:val="none" w:sz="0" w:space="0" w:color="auto"/>
      </w:divBdr>
    </w:div>
    <w:div w:id="746002944">
      <w:bodyDiv w:val="1"/>
      <w:marLeft w:val="0"/>
      <w:marRight w:val="0"/>
      <w:marTop w:val="0"/>
      <w:marBottom w:val="0"/>
      <w:divBdr>
        <w:top w:val="none" w:sz="0" w:space="0" w:color="auto"/>
        <w:left w:val="none" w:sz="0" w:space="0" w:color="auto"/>
        <w:bottom w:val="none" w:sz="0" w:space="0" w:color="auto"/>
        <w:right w:val="none" w:sz="0" w:space="0" w:color="auto"/>
      </w:divBdr>
    </w:div>
    <w:div w:id="1024359084">
      <w:bodyDiv w:val="1"/>
      <w:marLeft w:val="0"/>
      <w:marRight w:val="0"/>
      <w:marTop w:val="0"/>
      <w:marBottom w:val="0"/>
      <w:divBdr>
        <w:top w:val="none" w:sz="0" w:space="0" w:color="auto"/>
        <w:left w:val="none" w:sz="0" w:space="0" w:color="auto"/>
        <w:bottom w:val="none" w:sz="0" w:space="0" w:color="auto"/>
        <w:right w:val="none" w:sz="0" w:space="0" w:color="auto"/>
      </w:divBdr>
      <w:divsChild>
        <w:div w:id="1841844967">
          <w:marLeft w:val="0"/>
          <w:marRight w:val="0"/>
          <w:marTop w:val="0"/>
          <w:marBottom w:val="0"/>
          <w:divBdr>
            <w:top w:val="none" w:sz="0" w:space="0" w:color="auto"/>
            <w:left w:val="none" w:sz="0" w:space="0" w:color="auto"/>
            <w:bottom w:val="none" w:sz="0" w:space="0" w:color="auto"/>
            <w:right w:val="none" w:sz="0" w:space="0" w:color="auto"/>
          </w:divBdr>
        </w:div>
        <w:div w:id="111096212">
          <w:marLeft w:val="0"/>
          <w:marRight w:val="0"/>
          <w:marTop w:val="0"/>
          <w:marBottom w:val="0"/>
          <w:divBdr>
            <w:top w:val="none" w:sz="0" w:space="0" w:color="auto"/>
            <w:left w:val="none" w:sz="0" w:space="0" w:color="auto"/>
            <w:bottom w:val="none" w:sz="0" w:space="0" w:color="auto"/>
            <w:right w:val="none" w:sz="0" w:space="0" w:color="auto"/>
          </w:divBdr>
        </w:div>
        <w:div w:id="284242303">
          <w:marLeft w:val="0"/>
          <w:marRight w:val="0"/>
          <w:marTop w:val="0"/>
          <w:marBottom w:val="0"/>
          <w:divBdr>
            <w:top w:val="none" w:sz="0" w:space="0" w:color="auto"/>
            <w:left w:val="none" w:sz="0" w:space="0" w:color="auto"/>
            <w:bottom w:val="none" w:sz="0" w:space="0" w:color="auto"/>
            <w:right w:val="none" w:sz="0" w:space="0" w:color="auto"/>
          </w:divBdr>
        </w:div>
        <w:div w:id="1602299016">
          <w:marLeft w:val="0"/>
          <w:marRight w:val="0"/>
          <w:marTop w:val="0"/>
          <w:marBottom w:val="0"/>
          <w:divBdr>
            <w:top w:val="none" w:sz="0" w:space="0" w:color="auto"/>
            <w:left w:val="none" w:sz="0" w:space="0" w:color="auto"/>
            <w:bottom w:val="none" w:sz="0" w:space="0" w:color="auto"/>
            <w:right w:val="none" w:sz="0" w:space="0" w:color="auto"/>
          </w:divBdr>
        </w:div>
        <w:div w:id="22873974">
          <w:marLeft w:val="0"/>
          <w:marRight w:val="0"/>
          <w:marTop w:val="0"/>
          <w:marBottom w:val="0"/>
          <w:divBdr>
            <w:top w:val="none" w:sz="0" w:space="0" w:color="auto"/>
            <w:left w:val="none" w:sz="0" w:space="0" w:color="auto"/>
            <w:bottom w:val="none" w:sz="0" w:space="0" w:color="auto"/>
            <w:right w:val="none" w:sz="0" w:space="0" w:color="auto"/>
          </w:divBdr>
        </w:div>
        <w:div w:id="1222523987">
          <w:marLeft w:val="0"/>
          <w:marRight w:val="0"/>
          <w:marTop w:val="0"/>
          <w:marBottom w:val="0"/>
          <w:divBdr>
            <w:top w:val="none" w:sz="0" w:space="0" w:color="auto"/>
            <w:left w:val="none" w:sz="0" w:space="0" w:color="auto"/>
            <w:bottom w:val="none" w:sz="0" w:space="0" w:color="auto"/>
            <w:right w:val="none" w:sz="0" w:space="0" w:color="auto"/>
          </w:divBdr>
        </w:div>
        <w:div w:id="1453786311">
          <w:marLeft w:val="0"/>
          <w:marRight w:val="0"/>
          <w:marTop w:val="0"/>
          <w:marBottom w:val="0"/>
          <w:divBdr>
            <w:top w:val="none" w:sz="0" w:space="0" w:color="auto"/>
            <w:left w:val="none" w:sz="0" w:space="0" w:color="auto"/>
            <w:bottom w:val="none" w:sz="0" w:space="0" w:color="auto"/>
            <w:right w:val="none" w:sz="0" w:space="0" w:color="auto"/>
          </w:divBdr>
        </w:div>
        <w:div w:id="1431004397">
          <w:marLeft w:val="0"/>
          <w:marRight w:val="0"/>
          <w:marTop w:val="0"/>
          <w:marBottom w:val="0"/>
          <w:divBdr>
            <w:top w:val="none" w:sz="0" w:space="0" w:color="auto"/>
            <w:left w:val="none" w:sz="0" w:space="0" w:color="auto"/>
            <w:bottom w:val="none" w:sz="0" w:space="0" w:color="auto"/>
            <w:right w:val="none" w:sz="0" w:space="0" w:color="auto"/>
          </w:divBdr>
        </w:div>
        <w:div w:id="87194089">
          <w:marLeft w:val="0"/>
          <w:marRight w:val="0"/>
          <w:marTop w:val="0"/>
          <w:marBottom w:val="0"/>
          <w:divBdr>
            <w:top w:val="none" w:sz="0" w:space="0" w:color="auto"/>
            <w:left w:val="none" w:sz="0" w:space="0" w:color="auto"/>
            <w:bottom w:val="none" w:sz="0" w:space="0" w:color="auto"/>
            <w:right w:val="none" w:sz="0" w:space="0" w:color="auto"/>
          </w:divBdr>
        </w:div>
        <w:div w:id="350761492">
          <w:marLeft w:val="0"/>
          <w:marRight w:val="0"/>
          <w:marTop w:val="0"/>
          <w:marBottom w:val="0"/>
          <w:divBdr>
            <w:top w:val="none" w:sz="0" w:space="0" w:color="auto"/>
            <w:left w:val="none" w:sz="0" w:space="0" w:color="auto"/>
            <w:bottom w:val="none" w:sz="0" w:space="0" w:color="auto"/>
            <w:right w:val="none" w:sz="0" w:space="0" w:color="auto"/>
          </w:divBdr>
        </w:div>
        <w:div w:id="1240365469">
          <w:marLeft w:val="0"/>
          <w:marRight w:val="0"/>
          <w:marTop w:val="0"/>
          <w:marBottom w:val="0"/>
          <w:divBdr>
            <w:top w:val="none" w:sz="0" w:space="0" w:color="auto"/>
            <w:left w:val="none" w:sz="0" w:space="0" w:color="auto"/>
            <w:bottom w:val="none" w:sz="0" w:space="0" w:color="auto"/>
            <w:right w:val="none" w:sz="0" w:space="0" w:color="auto"/>
          </w:divBdr>
        </w:div>
        <w:div w:id="621158312">
          <w:marLeft w:val="0"/>
          <w:marRight w:val="0"/>
          <w:marTop w:val="0"/>
          <w:marBottom w:val="0"/>
          <w:divBdr>
            <w:top w:val="none" w:sz="0" w:space="0" w:color="auto"/>
            <w:left w:val="none" w:sz="0" w:space="0" w:color="auto"/>
            <w:bottom w:val="none" w:sz="0" w:space="0" w:color="auto"/>
            <w:right w:val="none" w:sz="0" w:space="0" w:color="auto"/>
          </w:divBdr>
        </w:div>
        <w:div w:id="245654875">
          <w:marLeft w:val="0"/>
          <w:marRight w:val="0"/>
          <w:marTop w:val="0"/>
          <w:marBottom w:val="0"/>
          <w:divBdr>
            <w:top w:val="none" w:sz="0" w:space="0" w:color="auto"/>
            <w:left w:val="none" w:sz="0" w:space="0" w:color="auto"/>
            <w:bottom w:val="none" w:sz="0" w:space="0" w:color="auto"/>
            <w:right w:val="none" w:sz="0" w:space="0" w:color="auto"/>
          </w:divBdr>
        </w:div>
        <w:div w:id="2111001864">
          <w:marLeft w:val="0"/>
          <w:marRight w:val="0"/>
          <w:marTop w:val="0"/>
          <w:marBottom w:val="0"/>
          <w:divBdr>
            <w:top w:val="none" w:sz="0" w:space="0" w:color="auto"/>
            <w:left w:val="none" w:sz="0" w:space="0" w:color="auto"/>
            <w:bottom w:val="none" w:sz="0" w:space="0" w:color="auto"/>
            <w:right w:val="none" w:sz="0" w:space="0" w:color="auto"/>
          </w:divBdr>
        </w:div>
        <w:div w:id="722944517">
          <w:marLeft w:val="0"/>
          <w:marRight w:val="0"/>
          <w:marTop w:val="0"/>
          <w:marBottom w:val="0"/>
          <w:divBdr>
            <w:top w:val="none" w:sz="0" w:space="0" w:color="auto"/>
            <w:left w:val="none" w:sz="0" w:space="0" w:color="auto"/>
            <w:bottom w:val="none" w:sz="0" w:space="0" w:color="auto"/>
            <w:right w:val="none" w:sz="0" w:space="0" w:color="auto"/>
          </w:divBdr>
        </w:div>
        <w:div w:id="1665627499">
          <w:marLeft w:val="0"/>
          <w:marRight w:val="0"/>
          <w:marTop w:val="0"/>
          <w:marBottom w:val="0"/>
          <w:divBdr>
            <w:top w:val="none" w:sz="0" w:space="0" w:color="auto"/>
            <w:left w:val="none" w:sz="0" w:space="0" w:color="auto"/>
            <w:bottom w:val="none" w:sz="0" w:space="0" w:color="auto"/>
            <w:right w:val="none" w:sz="0" w:space="0" w:color="auto"/>
          </w:divBdr>
        </w:div>
        <w:div w:id="816264120">
          <w:marLeft w:val="0"/>
          <w:marRight w:val="0"/>
          <w:marTop w:val="0"/>
          <w:marBottom w:val="0"/>
          <w:divBdr>
            <w:top w:val="none" w:sz="0" w:space="0" w:color="auto"/>
            <w:left w:val="none" w:sz="0" w:space="0" w:color="auto"/>
            <w:bottom w:val="none" w:sz="0" w:space="0" w:color="auto"/>
            <w:right w:val="none" w:sz="0" w:space="0" w:color="auto"/>
          </w:divBdr>
        </w:div>
        <w:div w:id="513881777">
          <w:marLeft w:val="0"/>
          <w:marRight w:val="0"/>
          <w:marTop w:val="0"/>
          <w:marBottom w:val="0"/>
          <w:divBdr>
            <w:top w:val="none" w:sz="0" w:space="0" w:color="auto"/>
            <w:left w:val="none" w:sz="0" w:space="0" w:color="auto"/>
            <w:bottom w:val="none" w:sz="0" w:space="0" w:color="auto"/>
            <w:right w:val="none" w:sz="0" w:space="0" w:color="auto"/>
          </w:divBdr>
        </w:div>
        <w:div w:id="715010560">
          <w:marLeft w:val="0"/>
          <w:marRight w:val="0"/>
          <w:marTop w:val="0"/>
          <w:marBottom w:val="0"/>
          <w:divBdr>
            <w:top w:val="none" w:sz="0" w:space="0" w:color="auto"/>
            <w:left w:val="none" w:sz="0" w:space="0" w:color="auto"/>
            <w:bottom w:val="none" w:sz="0" w:space="0" w:color="auto"/>
            <w:right w:val="none" w:sz="0" w:space="0" w:color="auto"/>
          </w:divBdr>
        </w:div>
      </w:divsChild>
    </w:div>
    <w:div w:id="201746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walifikacje.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29473-7074-470E-9F8E-5EF3DF52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16</Pages>
  <Words>5217</Words>
  <Characters>31307</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Dziemidow</dc:creator>
  <cp:lastModifiedBy>Elwira Misiewicz</cp:lastModifiedBy>
  <cp:revision>37</cp:revision>
  <cp:lastPrinted>2020-02-27T10:35:00Z</cp:lastPrinted>
  <dcterms:created xsi:type="dcterms:W3CDTF">2018-10-15T09:48:00Z</dcterms:created>
  <dcterms:modified xsi:type="dcterms:W3CDTF">2020-02-27T12:31:00Z</dcterms:modified>
</cp:coreProperties>
</file>